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lear" w:pos="426"/>
        </w:tabs>
        <w:rPr>
          <w:highlight w:val="none"/>
        </w:rPr>
      </w:pPr>
    </w:p>
    <w:p>
      <w:pPr>
        <w:tabs>
          <w:tab w:val="clear" w:pos="426"/>
        </w:tabs>
        <w:rPr>
          <w:highlight w:val="none"/>
        </w:rPr>
      </w:pPr>
    </w:p>
    <w:p>
      <w:pPr>
        <w:tabs>
          <w:tab w:val="clear" w:pos="426"/>
        </w:tabs>
        <w:wordWrap w:val="0"/>
        <w:jc w:val="right"/>
        <w:rPr>
          <w:rFonts w:hint="eastAsia" w:eastAsia="宋体"/>
          <w:b/>
          <w:highlight w:val="none"/>
          <w:u w:val="single"/>
          <w:lang w:eastAsia="zh-CN"/>
        </w:rPr>
      </w:pPr>
      <w:r>
        <w:rPr>
          <w:rFonts w:hint="eastAsia"/>
          <w:highlight w:val="none"/>
        </w:rPr>
        <w:t>项目编号：</w:t>
      </w:r>
      <w:r>
        <w:rPr>
          <w:rFonts w:hint="eastAsia"/>
          <w:highlight w:val="none"/>
          <w:u w:val="single"/>
          <w:lang w:eastAsia="zh-CN"/>
        </w:rPr>
        <w:t>2021-LJNSHC-F3001</w:t>
      </w:r>
    </w:p>
    <w:p>
      <w:pPr>
        <w:tabs>
          <w:tab w:val="clear" w:pos="426"/>
        </w:tabs>
        <w:rPr>
          <w:highlight w:val="none"/>
        </w:rPr>
      </w:pPr>
    </w:p>
    <w:p>
      <w:pPr>
        <w:tabs>
          <w:tab w:val="clear" w:pos="426"/>
        </w:tabs>
        <w:rPr>
          <w:highlight w:val="none"/>
        </w:rPr>
      </w:pPr>
    </w:p>
    <w:p>
      <w:pPr>
        <w:tabs>
          <w:tab w:val="clear" w:pos="426"/>
        </w:tabs>
        <w:rPr>
          <w:highlight w:val="none"/>
        </w:rPr>
      </w:pPr>
    </w:p>
    <w:p>
      <w:pPr>
        <w:widowControl w:val="0"/>
        <w:shd w:val="clear" w:color="auto" w:fill="auto"/>
        <w:tabs>
          <w:tab w:val="clear" w:pos="426"/>
        </w:tabs>
        <w:adjustRightInd/>
        <w:snapToGrid/>
        <w:spacing w:line="300" w:lineRule="auto"/>
        <w:jc w:val="center"/>
        <w:rPr>
          <w:rFonts w:cs="Times New Roman"/>
          <w:spacing w:val="26"/>
          <w:kern w:val="2"/>
          <w:sz w:val="72"/>
          <w:szCs w:val="20"/>
          <w:highlight w:val="none"/>
        </w:rPr>
      </w:pPr>
      <w:r>
        <w:rPr>
          <w:rFonts w:hint="eastAsia" w:cs="Times New Roman"/>
          <w:spacing w:val="26"/>
          <w:kern w:val="2"/>
          <w:sz w:val="72"/>
          <w:szCs w:val="20"/>
          <w:highlight w:val="none"/>
        </w:rPr>
        <w:t>竞争性谈判文件</w:t>
      </w: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jc w:val="center"/>
        <w:rPr>
          <w:rFonts w:ascii="黑体" w:hAnsi="Arial" w:eastAsia="黑体" w:cs="Arial"/>
          <w:color w:val="000000"/>
          <w:sz w:val="52"/>
          <w:szCs w:val="52"/>
          <w:highlight w:val="none"/>
        </w:rPr>
      </w:pPr>
      <w:r>
        <w:rPr>
          <w:rFonts w:hint="eastAsia" w:ascii="黑体" w:hAnsi="Arial" w:eastAsia="黑体" w:cs="Arial"/>
          <w:color w:val="000000"/>
          <w:sz w:val="52"/>
          <w:szCs w:val="52"/>
          <w:highlight w:val="none"/>
        </w:rPr>
        <w:t>【服务类】</w:t>
      </w: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u w:val="single"/>
        </w:rPr>
      </w:pPr>
      <w:r>
        <w:rPr>
          <w:rFonts w:hint="eastAsia" w:cs="Times New Roman"/>
          <w:kern w:val="2"/>
          <w:sz w:val="30"/>
          <w:szCs w:val="20"/>
          <w:highlight w:val="none"/>
        </w:rPr>
        <w:t>项目名称：</w:t>
      </w:r>
      <w:r>
        <w:rPr>
          <w:rFonts w:hint="eastAsia" w:cs="Times New Roman"/>
          <w:kern w:val="2"/>
          <w:sz w:val="30"/>
          <w:szCs w:val="20"/>
          <w:highlight w:val="none"/>
          <w:u w:val="single"/>
        </w:rPr>
        <w:t xml:space="preserve">  车辆租赁服务项目                               </w:t>
      </w:r>
    </w:p>
    <w:p>
      <w:pPr>
        <w:widowControl w:val="0"/>
        <w:shd w:val="clear" w:color="auto" w:fill="auto"/>
        <w:tabs>
          <w:tab w:val="clear" w:pos="426"/>
        </w:tabs>
        <w:adjustRightInd/>
        <w:snapToGrid/>
        <w:spacing w:line="300" w:lineRule="auto"/>
        <w:ind w:left="1500" w:hanging="1500" w:hangingChars="500"/>
        <w:rPr>
          <w:rFonts w:cs="Times New Roman"/>
          <w:kern w:val="2"/>
          <w:sz w:val="30"/>
          <w:szCs w:val="20"/>
          <w:highlight w:val="non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rPr>
      </w:pPr>
      <w:r>
        <w:rPr>
          <w:rFonts w:hint="eastAsia" w:cs="Times New Roman"/>
          <w:kern w:val="2"/>
          <w:sz w:val="30"/>
          <w:szCs w:val="20"/>
          <w:highlight w:val="none"/>
        </w:rPr>
        <w:t>采购人名称：</w:t>
      </w:r>
      <w:r>
        <w:rPr>
          <w:rFonts w:hint="eastAsia" w:cs="Times New Roman"/>
          <w:kern w:val="2"/>
          <w:sz w:val="30"/>
          <w:szCs w:val="20"/>
          <w:highlight w:val="none"/>
          <w:u w:val="single"/>
        </w:rPr>
        <w:t xml:space="preserve">  中国人民解放军31627部队                      </w:t>
      </w:r>
    </w:p>
    <w:p>
      <w:pPr>
        <w:widowControl w:val="0"/>
        <w:shd w:val="clear" w:color="auto" w:fill="auto"/>
        <w:tabs>
          <w:tab w:val="clear" w:pos="426"/>
        </w:tabs>
        <w:adjustRightInd/>
        <w:snapToGrid/>
        <w:spacing w:line="300" w:lineRule="auto"/>
        <w:ind w:left="1500" w:hanging="1500" w:hangingChars="500"/>
        <w:rPr>
          <w:rFonts w:cs="Times New Roman"/>
          <w:kern w:val="2"/>
          <w:sz w:val="30"/>
          <w:szCs w:val="20"/>
          <w:highlight w:val="non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rPr>
      </w:pPr>
      <w:r>
        <w:rPr>
          <w:rFonts w:hint="eastAsia" w:cs="Times New Roman"/>
          <w:kern w:val="2"/>
          <w:sz w:val="30"/>
          <w:szCs w:val="20"/>
          <w:highlight w:val="none"/>
        </w:rPr>
        <w:t>采购代理机构名称：</w:t>
      </w:r>
      <w:r>
        <w:rPr>
          <w:rFonts w:hint="eastAsia" w:cs="Times New Roman"/>
          <w:kern w:val="2"/>
          <w:sz w:val="30"/>
          <w:szCs w:val="20"/>
          <w:highlight w:val="none"/>
          <w:u w:val="single"/>
        </w:rPr>
        <w:t xml:space="preserve">  深圳市深水水务咨询有限公司            </w:t>
      </w: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jc w:val="center"/>
        <w:rPr>
          <w:b/>
          <w:sz w:val="32"/>
          <w:szCs w:val="32"/>
          <w:highlight w:val="none"/>
        </w:rPr>
      </w:pPr>
      <w:r>
        <w:rPr>
          <w:highlight w:val="none"/>
        </w:rPr>
        <w:br w:type="page"/>
      </w:r>
      <w:r>
        <w:rPr>
          <w:rFonts w:hint="eastAsia"/>
          <w:b/>
          <w:sz w:val="32"/>
          <w:szCs w:val="32"/>
          <w:highlight w:val="none"/>
        </w:rPr>
        <w:t>目录</w:t>
      </w:r>
    </w:p>
    <w:p>
      <w:pPr>
        <w:tabs>
          <w:tab w:val="clear" w:pos="426"/>
        </w:tabs>
        <w:jc w:val="center"/>
        <w:rPr>
          <w:sz w:val="32"/>
          <w:szCs w:val="32"/>
          <w:highlight w:val="none"/>
        </w:rPr>
      </w:pPr>
    </w:p>
    <w:p>
      <w:pPr>
        <w:pStyle w:val="36"/>
        <w:tabs>
          <w:tab w:val="right" w:leader="dot" w:pos="8788"/>
        </w:tabs>
      </w:pPr>
      <w:r>
        <w:rPr>
          <w:highlight w:val="none"/>
        </w:rPr>
        <w:fldChar w:fldCharType="begin"/>
      </w:r>
      <w:r>
        <w:rPr>
          <w:highlight w:val="none"/>
        </w:rPr>
        <w:instrText xml:space="preserve"> TOC \o "1-2" \h \z \u </w:instrText>
      </w:r>
      <w:r>
        <w:rPr>
          <w:highlight w:val="none"/>
        </w:rPr>
        <w:fldChar w:fldCharType="separate"/>
      </w:r>
      <w:r>
        <w:rPr>
          <w:highlight w:val="none"/>
        </w:rPr>
        <w:fldChar w:fldCharType="begin"/>
      </w:r>
      <w:r>
        <w:rPr>
          <w:highlight w:val="none"/>
        </w:rPr>
        <w:instrText xml:space="preserve"> HYPERLINK \l _Toc26540 </w:instrText>
      </w:r>
      <w:r>
        <w:rPr>
          <w:highlight w:val="none"/>
        </w:rPr>
        <w:fldChar w:fldCharType="separate"/>
      </w:r>
      <w:r>
        <w:rPr>
          <w:rFonts w:hint="eastAsia"/>
          <w:highlight w:val="none"/>
        </w:rPr>
        <w:t>项目关键信息</w:t>
      </w:r>
      <w:r>
        <w:tab/>
      </w:r>
      <w:r>
        <w:fldChar w:fldCharType="begin"/>
      </w:r>
      <w:r>
        <w:instrText xml:space="preserve"> PAGEREF _Toc26540 \h </w:instrText>
      </w:r>
      <w:r>
        <w:fldChar w:fldCharType="separate"/>
      </w:r>
      <w:r>
        <w:t>1</w:t>
      </w:r>
      <w:r>
        <w:fldChar w:fldCharType="end"/>
      </w:r>
      <w:r>
        <w:rPr>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_Toc12432 </w:instrText>
      </w:r>
      <w:r>
        <w:rPr>
          <w:smallCaps/>
          <w:highlight w:val="none"/>
        </w:rPr>
        <w:fldChar w:fldCharType="separate"/>
      </w:r>
      <w:r>
        <w:rPr>
          <w:rFonts w:hint="eastAsia"/>
          <w:highlight w:val="none"/>
        </w:rPr>
        <w:t>资格、符合性评审条款</w:t>
      </w:r>
      <w:r>
        <w:tab/>
      </w:r>
      <w:r>
        <w:fldChar w:fldCharType="begin"/>
      </w:r>
      <w:r>
        <w:instrText xml:space="preserve"> PAGEREF _Toc12432 \h </w:instrText>
      </w:r>
      <w:r>
        <w:fldChar w:fldCharType="separate"/>
      </w:r>
      <w:r>
        <w:t>2</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_Toc22506 </w:instrText>
      </w:r>
      <w:r>
        <w:rPr>
          <w:smallCaps/>
          <w:highlight w:val="none"/>
        </w:rPr>
        <w:fldChar w:fldCharType="separate"/>
      </w:r>
      <w:r>
        <w:rPr>
          <w:rFonts w:hint="eastAsia"/>
          <w:highlight w:val="none"/>
        </w:rPr>
        <w:t>评审办法</w:t>
      </w:r>
      <w:r>
        <w:tab/>
      </w:r>
      <w:r>
        <w:fldChar w:fldCharType="begin"/>
      </w:r>
      <w:r>
        <w:instrText xml:space="preserve"> PAGEREF _Toc22506 \h </w:instrText>
      </w:r>
      <w:r>
        <w:fldChar w:fldCharType="separate"/>
      </w:r>
      <w:r>
        <w:t>3</w:t>
      </w:r>
      <w:r>
        <w:fldChar w:fldCharType="end"/>
      </w:r>
      <w:r>
        <w:rPr>
          <w:smallCaps/>
          <w:highlight w:val="none"/>
        </w:rPr>
        <w:fldChar w:fldCharType="end"/>
      </w:r>
    </w:p>
    <w:p>
      <w:pPr>
        <w:pStyle w:val="31"/>
        <w:tabs>
          <w:tab w:val="right" w:leader="dot" w:pos="8788"/>
          <w:tab w:val="clear" w:pos="426"/>
          <w:tab w:val="clear" w:pos="8789"/>
        </w:tabs>
      </w:pPr>
      <w:r>
        <w:rPr>
          <w:smallCaps/>
          <w:highlight w:val="none"/>
        </w:rPr>
        <w:fldChar w:fldCharType="begin"/>
      </w:r>
      <w:r>
        <w:rPr>
          <w:smallCaps/>
          <w:highlight w:val="none"/>
        </w:rPr>
        <w:instrText xml:space="preserve"> HYPERLINK \l _Toc190 </w:instrText>
      </w:r>
      <w:r>
        <w:rPr>
          <w:smallCaps/>
          <w:highlight w:val="none"/>
        </w:rPr>
        <w:fldChar w:fldCharType="separate"/>
      </w:r>
      <w:r>
        <w:rPr>
          <w:rFonts w:hint="eastAsia"/>
          <w:highlight w:val="none"/>
        </w:rPr>
        <w:t xml:space="preserve">第一册 </w:t>
      </w:r>
      <w:r>
        <w:rPr>
          <w:highlight w:val="none"/>
        </w:rPr>
        <w:t xml:space="preserve"> </w:t>
      </w:r>
      <w:r>
        <w:rPr>
          <w:rFonts w:hint="eastAsia"/>
          <w:highlight w:val="none"/>
        </w:rPr>
        <w:t>专用条款</w:t>
      </w:r>
      <w:r>
        <w:tab/>
      </w:r>
      <w:r>
        <w:fldChar w:fldCharType="begin"/>
      </w:r>
      <w:r>
        <w:instrText xml:space="preserve"> PAGEREF _Toc190 \h </w:instrText>
      </w:r>
      <w:r>
        <w:fldChar w:fldCharType="separate"/>
      </w:r>
      <w:r>
        <w:t>8</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_Toc31436 </w:instrText>
      </w:r>
      <w:r>
        <w:rPr>
          <w:smallCaps/>
          <w:highlight w:val="none"/>
        </w:rPr>
        <w:fldChar w:fldCharType="separate"/>
      </w:r>
      <w:r>
        <w:rPr>
          <w:rFonts w:hint="eastAsia"/>
          <w:highlight w:val="none"/>
        </w:rPr>
        <w:t>第一章 竞争性谈判公告</w:t>
      </w:r>
      <w:r>
        <w:tab/>
      </w:r>
      <w:r>
        <w:fldChar w:fldCharType="begin"/>
      </w:r>
      <w:r>
        <w:instrText xml:space="preserve"> PAGEREF _Toc31436 \h </w:instrText>
      </w:r>
      <w:r>
        <w:fldChar w:fldCharType="separate"/>
      </w:r>
      <w:r>
        <w:t>8</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_Toc31608 </w:instrText>
      </w:r>
      <w:r>
        <w:rPr>
          <w:smallCaps/>
          <w:highlight w:val="none"/>
        </w:rPr>
        <w:fldChar w:fldCharType="separate"/>
      </w:r>
      <w:r>
        <w:rPr>
          <w:rFonts w:hint="eastAsia"/>
          <w:highlight w:val="none"/>
        </w:rPr>
        <w:t>第二章 谈判应答须知前附表</w:t>
      </w:r>
      <w:r>
        <w:tab/>
      </w:r>
      <w:r>
        <w:fldChar w:fldCharType="begin"/>
      </w:r>
      <w:r>
        <w:instrText xml:space="preserve"> PAGEREF _Toc31608 \h </w:instrText>
      </w:r>
      <w:r>
        <w:fldChar w:fldCharType="separate"/>
      </w:r>
      <w:r>
        <w:t>11</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_Toc1949 </w:instrText>
      </w:r>
      <w:r>
        <w:rPr>
          <w:smallCaps/>
          <w:highlight w:val="none"/>
        </w:rPr>
        <w:fldChar w:fldCharType="separate"/>
      </w:r>
      <w:r>
        <w:rPr>
          <w:rFonts w:hint="eastAsia"/>
          <w:highlight w:val="none"/>
        </w:rPr>
        <w:t xml:space="preserve">第三章 </w:t>
      </w:r>
      <w:r>
        <w:rPr>
          <w:highlight w:val="none"/>
        </w:rPr>
        <w:t>项目</w:t>
      </w:r>
      <w:r>
        <w:rPr>
          <w:rFonts w:hint="eastAsia"/>
          <w:highlight w:val="none"/>
        </w:rPr>
        <w:t>需求</w:t>
      </w:r>
      <w:r>
        <w:tab/>
      </w:r>
      <w:r>
        <w:fldChar w:fldCharType="begin"/>
      </w:r>
      <w:r>
        <w:instrText xml:space="preserve"> PAGEREF _Toc1949 \h </w:instrText>
      </w:r>
      <w:r>
        <w:fldChar w:fldCharType="separate"/>
      </w:r>
      <w:r>
        <w:t>12</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_Toc26780 </w:instrText>
      </w:r>
      <w:r>
        <w:rPr>
          <w:smallCaps/>
          <w:highlight w:val="none"/>
        </w:rPr>
        <w:fldChar w:fldCharType="separate"/>
      </w:r>
      <w:r>
        <w:rPr>
          <w:rFonts w:hint="eastAsia"/>
          <w:highlight w:val="none"/>
        </w:rPr>
        <w:t>第四章 政府采购合同的签订、履约及验收</w:t>
      </w:r>
      <w:r>
        <w:tab/>
      </w:r>
      <w:r>
        <w:fldChar w:fldCharType="begin"/>
      </w:r>
      <w:r>
        <w:instrText xml:space="preserve"> PAGEREF _Toc26780 \h </w:instrText>
      </w:r>
      <w:r>
        <w:fldChar w:fldCharType="separate"/>
      </w:r>
      <w:r>
        <w:t>16</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_Toc25988 </w:instrText>
      </w:r>
      <w:r>
        <w:rPr>
          <w:smallCaps/>
          <w:highlight w:val="none"/>
        </w:rPr>
        <w:fldChar w:fldCharType="separate"/>
      </w:r>
      <w:r>
        <w:rPr>
          <w:rFonts w:hint="eastAsia"/>
          <w:highlight w:val="none"/>
        </w:rPr>
        <w:t>第五章 谈判应答文件格式、附件</w:t>
      </w:r>
      <w:r>
        <w:tab/>
      </w:r>
      <w:r>
        <w:fldChar w:fldCharType="begin"/>
      </w:r>
      <w:r>
        <w:instrText xml:space="preserve"> PAGEREF _Toc25988 \h </w:instrText>
      </w:r>
      <w:r>
        <w:fldChar w:fldCharType="separate"/>
      </w:r>
      <w:r>
        <w:t>22</w:t>
      </w:r>
      <w:r>
        <w:fldChar w:fldCharType="end"/>
      </w:r>
      <w:r>
        <w:rPr>
          <w:smallCaps/>
          <w:highlight w:val="none"/>
        </w:rPr>
        <w:fldChar w:fldCharType="end"/>
      </w:r>
    </w:p>
    <w:p>
      <w:pPr>
        <w:pStyle w:val="31"/>
        <w:tabs>
          <w:tab w:val="right" w:leader="dot" w:pos="8788"/>
          <w:tab w:val="clear" w:pos="426"/>
          <w:tab w:val="clear" w:pos="8789"/>
        </w:tabs>
      </w:pPr>
      <w:r>
        <w:rPr>
          <w:smallCaps/>
          <w:highlight w:val="none"/>
        </w:rPr>
        <w:fldChar w:fldCharType="begin"/>
      </w:r>
      <w:r>
        <w:rPr>
          <w:smallCaps/>
          <w:highlight w:val="none"/>
        </w:rPr>
        <w:instrText xml:space="preserve"> HYPERLINK \l _Toc16014 </w:instrText>
      </w:r>
      <w:r>
        <w:rPr>
          <w:smallCaps/>
          <w:highlight w:val="none"/>
        </w:rPr>
        <w:fldChar w:fldCharType="separate"/>
      </w:r>
      <w:r>
        <w:rPr>
          <w:rFonts w:hint="eastAsia"/>
          <w:highlight w:val="none"/>
        </w:rPr>
        <w:t xml:space="preserve">第二册 </w:t>
      </w:r>
      <w:r>
        <w:rPr>
          <w:highlight w:val="none"/>
        </w:rPr>
        <w:t xml:space="preserve"> </w:t>
      </w:r>
      <w:r>
        <w:rPr>
          <w:rFonts w:hint="eastAsia"/>
          <w:highlight w:val="none"/>
        </w:rPr>
        <w:t>通用条款</w:t>
      </w:r>
      <w:r>
        <w:tab/>
      </w:r>
      <w:r>
        <w:fldChar w:fldCharType="begin"/>
      </w:r>
      <w:r>
        <w:instrText xml:space="preserve"> PAGEREF _Toc16014 \h </w:instrText>
      </w:r>
      <w:r>
        <w:fldChar w:fldCharType="separate"/>
      </w:r>
      <w:r>
        <w:t>46</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_Toc30175 </w:instrText>
      </w:r>
      <w:r>
        <w:rPr>
          <w:smallCaps/>
          <w:highlight w:val="none"/>
        </w:rPr>
        <w:fldChar w:fldCharType="separate"/>
      </w:r>
      <w:r>
        <w:rPr>
          <w:rFonts w:hint="eastAsia"/>
          <w:highlight w:val="none"/>
        </w:rPr>
        <w:t>第一章 总则</w:t>
      </w:r>
      <w:r>
        <w:tab/>
      </w:r>
      <w:r>
        <w:fldChar w:fldCharType="begin"/>
      </w:r>
      <w:r>
        <w:instrText xml:space="preserve"> PAGEREF _Toc30175 \h </w:instrText>
      </w:r>
      <w:r>
        <w:fldChar w:fldCharType="separate"/>
      </w:r>
      <w:r>
        <w:t>46</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_Toc13200 </w:instrText>
      </w:r>
      <w:r>
        <w:rPr>
          <w:smallCaps/>
          <w:highlight w:val="none"/>
        </w:rPr>
        <w:fldChar w:fldCharType="separate"/>
      </w:r>
      <w:r>
        <w:rPr>
          <w:rFonts w:hint="eastAsia"/>
          <w:highlight w:val="none"/>
        </w:rPr>
        <w:t>第二章 竞争性谈判文件</w:t>
      </w:r>
      <w:r>
        <w:tab/>
      </w:r>
      <w:r>
        <w:fldChar w:fldCharType="begin"/>
      </w:r>
      <w:r>
        <w:instrText xml:space="preserve"> PAGEREF _Toc13200 \h </w:instrText>
      </w:r>
      <w:r>
        <w:fldChar w:fldCharType="separate"/>
      </w:r>
      <w:r>
        <w:t>48</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_Toc3771 </w:instrText>
      </w:r>
      <w:r>
        <w:rPr>
          <w:smallCaps/>
          <w:highlight w:val="none"/>
        </w:rPr>
        <w:fldChar w:fldCharType="separate"/>
      </w:r>
      <w:r>
        <w:rPr>
          <w:rFonts w:hint="eastAsia"/>
          <w:highlight w:val="none"/>
        </w:rPr>
        <w:t>第三章 谈判应答文件的编制与递交</w:t>
      </w:r>
      <w:r>
        <w:tab/>
      </w:r>
      <w:r>
        <w:fldChar w:fldCharType="begin"/>
      </w:r>
      <w:r>
        <w:instrText xml:space="preserve"> PAGEREF _Toc3771 \h </w:instrText>
      </w:r>
      <w:r>
        <w:fldChar w:fldCharType="separate"/>
      </w:r>
      <w:r>
        <w:t>50</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_Toc17136 </w:instrText>
      </w:r>
      <w:r>
        <w:rPr>
          <w:smallCaps/>
          <w:highlight w:val="none"/>
        </w:rPr>
        <w:fldChar w:fldCharType="separate"/>
      </w:r>
      <w:r>
        <w:rPr>
          <w:rFonts w:hint="eastAsia"/>
          <w:highlight w:val="none"/>
        </w:rPr>
        <w:t>第四章 谈判初始报价</w:t>
      </w:r>
      <w:r>
        <w:tab/>
      </w:r>
      <w:r>
        <w:fldChar w:fldCharType="begin"/>
      </w:r>
      <w:r>
        <w:instrText xml:space="preserve"> PAGEREF _Toc17136 \h </w:instrText>
      </w:r>
      <w:r>
        <w:fldChar w:fldCharType="separate"/>
      </w:r>
      <w:r>
        <w:t>54</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_Toc3551 </w:instrText>
      </w:r>
      <w:r>
        <w:rPr>
          <w:smallCaps/>
          <w:highlight w:val="none"/>
        </w:rPr>
        <w:fldChar w:fldCharType="separate"/>
      </w:r>
      <w:r>
        <w:rPr>
          <w:rFonts w:hint="eastAsia"/>
          <w:highlight w:val="none"/>
        </w:rPr>
        <w:t>第五章 谈判要求</w:t>
      </w:r>
      <w:r>
        <w:tab/>
      </w:r>
      <w:r>
        <w:fldChar w:fldCharType="begin"/>
      </w:r>
      <w:r>
        <w:instrText xml:space="preserve"> PAGEREF _Toc3551 \h </w:instrText>
      </w:r>
      <w:r>
        <w:fldChar w:fldCharType="separate"/>
      </w:r>
      <w:r>
        <w:t>55</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_Toc3164 </w:instrText>
      </w:r>
      <w:r>
        <w:rPr>
          <w:smallCaps/>
          <w:highlight w:val="none"/>
        </w:rPr>
        <w:fldChar w:fldCharType="separate"/>
      </w:r>
      <w:r>
        <w:rPr>
          <w:rFonts w:hint="eastAsia"/>
          <w:highlight w:val="none"/>
        </w:rPr>
        <w:t>第六章 谈判程序及谈判方法</w:t>
      </w:r>
      <w:r>
        <w:tab/>
      </w:r>
      <w:r>
        <w:fldChar w:fldCharType="begin"/>
      </w:r>
      <w:r>
        <w:instrText xml:space="preserve"> PAGEREF _Toc3164 \h </w:instrText>
      </w:r>
      <w:r>
        <w:fldChar w:fldCharType="separate"/>
      </w:r>
      <w:r>
        <w:t>55</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_Toc28983 </w:instrText>
      </w:r>
      <w:r>
        <w:rPr>
          <w:smallCaps/>
          <w:highlight w:val="none"/>
        </w:rPr>
        <w:fldChar w:fldCharType="separate"/>
      </w:r>
      <w:r>
        <w:rPr>
          <w:rFonts w:hint="eastAsia"/>
          <w:highlight w:val="none"/>
        </w:rPr>
        <w:t>第七章 公示及成交</w:t>
      </w:r>
      <w:r>
        <w:tab/>
      </w:r>
      <w:r>
        <w:fldChar w:fldCharType="begin"/>
      </w:r>
      <w:r>
        <w:instrText xml:space="preserve"> PAGEREF _Toc28983 \h </w:instrText>
      </w:r>
      <w:r>
        <w:fldChar w:fldCharType="separate"/>
      </w:r>
      <w:r>
        <w:t>57</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_Toc26399 </w:instrText>
      </w:r>
      <w:r>
        <w:rPr>
          <w:smallCaps/>
          <w:highlight w:val="none"/>
        </w:rPr>
        <w:fldChar w:fldCharType="separate"/>
      </w:r>
      <w:r>
        <w:rPr>
          <w:rFonts w:hint="eastAsia"/>
          <w:highlight w:val="none"/>
        </w:rPr>
        <w:t>第八章 供应商工作范围</w:t>
      </w:r>
      <w:r>
        <w:tab/>
      </w:r>
      <w:r>
        <w:fldChar w:fldCharType="begin"/>
      </w:r>
      <w:r>
        <w:instrText xml:space="preserve"> PAGEREF _Toc26399 \h </w:instrText>
      </w:r>
      <w:r>
        <w:fldChar w:fldCharType="separate"/>
      </w:r>
      <w:r>
        <w:t>58</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_Toc1965 </w:instrText>
      </w:r>
      <w:r>
        <w:rPr>
          <w:smallCaps/>
          <w:highlight w:val="none"/>
        </w:rPr>
        <w:fldChar w:fldCharType="separate"/>
      </w:r>
      <w:r>
        <w:rPr>
          <w:rFonts w:hint="eastAsia"/>
          <w:highlight w:val="none"/>
        </w:rPr>
        <w:t>第九章 合同的授予与备案</w:t>
      </w:r>
      <w:r>
        <w:tab/>
      </w:r>
      <w:r>
        <w:fldChar w:fldCharType="begin"/>
      </w:r>
      <w:r>
        <w:instrText xml:space="preserve"> PAGEREF _Toc1965 \h </w:instrText>
      </w:r>
      <w:r>
        <w:fldChar w:fldCharType="separate"/>
      </w:r>
      <w:r>
        <w:t>58</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_Toc4125 </w:instrText>
      </w:r>
      <w:r>
        <w:rPr>
          <w:smallCaps/>
          <w:highlight w:val="none"/>
        </w:rPr>
        <w:fldChar w:fldCharType="separate"/>
      </w:r>
      <w:r>
        <w:rPr>
          <w:rFonts w:hint="eastAsia"/>
          <w:highlight w:val="none"/>
        </w:rPr>
        <w:t>第十章 质疑受理</w:t>
      </w:r>
      <w:r>
        <w:tab/>
      </w:r>
      <w:r>
        <w:fldChar w:fldCharType="begin"/>
      </w:r>
      <w:r>
        <w:instrText xml:space="preserve"> PAGEREF _Toc4125 \h </w:instrText>
      </w:r>
      <w:r>
        <w:fldChar w:fldCharType="separate"/>
      </w:r>
      <w:r>
        <w:t>58</w:t>
      </w:r>
      <w:r>
        <w:fldChar w:fldCharType="end"/>
      </w:r>
      <w:r>
        <w:rPr>
          <w:smallCaps/>
          <w:highlight w:val="none"/>
        </w:rPr>
        <w:fldChar w:fldCharType="end"/>
      </w:r>
    </w:p>
    <w:p>
      <w:pPr>
        <w:pStyle w:val="36"/>
        <w:tabs>
          <w:tab w:val="right" w:leader="dot" w:pos="8788"/>
        </w:tabs>
      </w:pPr>
      <w:r>
        <w:rPr>
          <w:smallCaps/>
          <w:highlight w:val="none"/>
        </w:rPr>
        <w:fldChar w:fldCharType="begin"/>
      </w:r>
      <w:r>
        <w:rPr>
          <w:smallCaps/>
          <w:highlight w:val="none"/>
        </w:rPr>
        <w:instrText xml:space="preserve"> HYPERLINK \l _Toc9648 </w:instrText>
      </w:r>
      <w:r>
        <w:rPr>
          <w:smallCaps/>
          <w:highlight w:val="none"/>
        </w:rPr>
        <w:fldChar w:fldCharType="separate"/>
      </w:r>
      <w:r>
        <w:rPr>
          <w:rFonts w:hint="eastAsia"/>
          <w:highlight w:val="none"/>
        </w:rPr>
        <w:t>第十一章 解释权</w:t>
      </w:r>
      <w:r>
        <w:tab/>
      </w:r>
      <w:r>
        <w:fldChar w:fldCharType="begin"/>
      </w:r>
      <w:r>
        <w:instrText xml:space="preserve"> PAGEREF _Toc9648 \h </w:instrText>
      </w:r>
      <w:r>
        <w:fldChar w:fldCharType="separate"/>
      </w:r>
      <w:r>
        <w:t>60</w:t>
      </w:r>
      <w:r>
        <w:fldChar w:fldCharType="end"/>
      </w:r>
      <w:r>
        <w:rPr>
          <w:smallCaps/>
          <w:highlight w:val="none"/>
        </w:rPr>
        <w:fldChar w:fldCharType="end"/>
      </w:r>
    </w:p>
    <w:p>
      <w:pPr>
        <w:pStyle w:val="31"/>
        <w:tabs>
          <w:tab w:val="right" w:leader="dot" w:pos="8788"/>
          <w:tab w:val="clear" w:pos="426"/>
          <w:tab w:val="clear" w:pos="8789"/>
        </w:tabs>
      </w:pPr>
      <w:r>
        <w:rPr>
          <w:smallCaps/>
          <w:highlight w:val="none"/>
        </w:rPr>
        <w:fldChar w:fldCharType="begin"/>
      </w:r>
      <w:r>
        <w:rPr>
          <w:smallCaps/>
          <w:highlight w:val="none"/>
        </w:rPr>
        <w:instrText xml:space="preserve"> HYPERLINK \l _Toc20670 </w:instrText>
      </w:r>
      <w:r>
        <w:rPr>
          <w:smallCaps/>
          <w:highlight w:val="none"/>
        </w:rPr>
        <w:fldChar w:fldCharType="separate"/>
      </w:r>
      <w:r>
        <w:rPr>
          <w:rFonts w:hint="eastAsia"/>
          <w:highlight w:val="none"/>
        </w:rPr>
        <w:t>采购代理服务取费说明</w:t>
      </w:r>
      <w:r>
        <w:tab/>
      </w:r>
      <w:r>
        <w:fldChar w:fldCharType="begin"/>
      </w:r>
      <w:r>
        <w:instrText xml:space="preserve"> PAGEREF _Toc20670 \h </w:instrText>
      </w:r>
      <w:r>
        <w:fldChar w:fldCharType="separate"/>
      </w:r>
      <w:r>
        <w:t>62</w:t>
      </w:r>
      <w:r>
        <w:fldChar w:fldCharType="end"/>
      </w:r>
      <w:r>
        <w:rPr>
          <w:smallCaps/>
          <w:highlight w:val="none"/>
        </w:rPr>
        <w:fldChar w:fldCharType="end"/>
      </w:r>
    </w:p>
    <w:p>
      <w:pPr>
        <w:tabs>
          <w:tab w:val="clear" w:pos="426"/>
        </w:tabs>
        <w:rPr>
          <w:smallCaps/>
          <w:sz w:val="28"/>
          <w:highlight w:val="none"/>
        </w:rPr>
      </w:pPr>
      <w:r>
        <w:rPr>
          <w:smallCaps/>
          <w:highlight w:val="none"/>
        </w:rPr>
        <w:fldChar w:fldCharType="end"/>
      </w:r>
    </w:p>
    <w:p>
      <w:pPr>
        <w:tabs>
          <w:tab w:val="clear" w:pos="426"/>
        </w:tabs>
        <w:rPr>
          <w:highlight w:val="none"/>
        </w:rPr>
      </w:pPr>
    </w:p>
    <w:p>
      <w:pPr>
        <w:tabs>
          <w:tab w:val="clear" w:pos="426"/>
        </w:tabs>
        <w:rPr>
          <w:highlight w:val="none"/>
        </w:rPr>
        <w:sectPr>
          <w:footerReference r:id="rId5" w:type="even"/>
          <w:pgSz w:w="11906" w:h="16838"/>
          <w:pgMar w:top="1134" w:right="1700" w:bottom="1134" w:left="1418" w:header="851" w:footer="992" w:gutter="0"/>
          <w:pgNumType w:start="0"/>
          <w:cols w:space="425" w:num="1"/>
          <w:titlePg/>
          <w:docGrid w:linePitch="462" w:charSpace="0"/>
        </w:sectPr>
      </w:pPr>
    </w:p>
    <w:p>
      <w:pPr>
        <w:pStyle w:val="33"/>
        <w:tabs>
          <w:tab w:val="clear" w:pos="426"/>
        </w:tabs>
        <w:rPr>
          <w:highlight w:val="none"/>
        </w:rPr>
      </w:pPr>
      <w:bookmarkStart w:id="0" w:name="_Toc26540"/>
      <w:r>
        <w:rPr>
          <w:rFonts w:hint="eastAsia"/>
          <w:highlight w:val="none"/>
        </w:rPr>
        <w:t>项目关键信息</w:t>
      </w:r>
      <w:bookmarkEnd w:id="0"/>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6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4" w:type="pct"/>
            <w:vAlign w:val="center"/>
          </w:tcPr>
          <w:p>
            <w:pPr>
              <w:tabs>
                <w:tab w:val="clear" w:pos="426"/>
              </w:tabs>
              <w:adjustRightInd/>
              <w:snapToGrid/>
              <w:spacing w:line="240" w:lineRule="auto"/>
              <w:rPr>
                <w:szCs w:val="21"/>
                <w:highlight w:val="none"/>
              </w:rPr>
            </w:pPr>
            <w:r>
              <w:rPr>
                <w:rFonts w:hint="eastAsia"/>
                <w:szCs w:val="21"/>
                <w:highlight w:val="none"/>
              </w:rPr>
              <w:t>采购项目编号</w:t>
            </w:r>
          </w:p>
        </w:tc>
        <w:tc>
          <w:tcPr>
            <w:tcW w:w="3856" w:type="pct"/>
            <w:vAlign w:val="center"/>
          </w:tcPr>
          <w:p>
            <w:pPr>
              <w:tabs>
                <w:tab w:val="clear" w:pos="426"/>
              </w:tabs>
              <w:adjustRightInd/>
              <w:snapToGrid/>
              <w:spacing w:line="240" w:lineRule="auto"/>
              <w:rPr>
                <w:rFonts w:hint="eastAsia" w:eastAsia="宋体"/>
                <w:szCs w:val="21"/>
                <w:highlight w:val="none"/>
                <w:lang w:eastAsia="zh-CN"/>
              </w:rPr>
            </w:pPr>
            <w:r>
              <w:rPr>
                <w:rFonts w:hint="eastAsia"/>
                <w:szCs w:val="21"/>
                <w:highlight w:val="none"/>
                <w:lang w:eastAsia="zh-CN"/>
              </w:rPr>
              <w:t>2021-LJNSHC-F3001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4" w:type="pct"/>
            <w:vAlign w:val="center"/>
          </w:tcPr>
          <w:p>
            <w:pPr>
              <w:tabs>
                <w:tab w:val="clear" w:pos="426"/>
              </w:tabs>
              <w:adjustRightInd/>
              <w:snapToGrid/>
              <w:spacing w:line="240" w:lineRule="auto"/>
              <w:rPr>
                <w:szCs w:val="21"/>
                <w:highlight w:val="none"/>
              </w:rPr>
            </w:pPr>
            <w:r>
              <w:rPr>
                <w:rFonts w:hint="eastAsia"/>
                <w:szCs w:val="21"/>
                <w:highlight w:val="none"/>
              </w:rPr>
              <w:t>项目名称</w:t>
            </w:r>
          </w:p>
        </w:tc>
        <w:tc>
          <w:tcPr>
            <w:tcW w:w="3856" w:type="pct"/>
            <w:vAlign w:val="center"/>
          </w:tcPr>
          <w:p>
            <w:pPr>
              <w:tabs>
                <w:tab w:val="clear" w:pos="426"/>
              </w:tabs>
              <w:adjustRightInd/>
              <w:snapToGrid/>
              <w:spacing w:line="240" w:lineRule="auto"/>
              <w:rPr>
                <w:szCs w:val="21"/>
                <w:highlight w:val="none"/>
              </w:rPr>
            </w:pPr>
            <w:bookmarkStart w:id="1" w:name="_Hlk47344914"/>
            <w:r>
              <w:rPr>
                <w:rFonts w:hint="eastAsia"/>
                <w:szCs w:val="21"/>
                <w:highlight w:val="none"/>
              </w:rPr>
              <w:t>车辆租赁服务项目</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4" w:type="pct"/>
            <w:vAlign w:val="center"/>
          </w:tcPr>
          <w:p>
            <w:pPr>
              <w:tabs>
                <w:tab w:val="clear" w:pos="426"/>
              </w:tabs>
              <w:adjustRightInd/>
              <w:snapToGrid/>
              <w:spacing w:line="240" w:lineRule="auto"/>
              <w:rPr>
                <w:szCs w:val="21"/>
                <w:highlight w:val="none"/>
              </w:rPr>
            </w:pPr>
            <w:r>
              <w:rPr>
                <w:szCs w:val="21"/>
                <w:highlight w:val="none"/>
              </w:rPr>
              <w:t>项目类型</w:t>
            </w:r>
          </w:p>
        </w:tc>
        <w:tc>
          <w:tcPr>
            <w:tcW w:w="3856" w:type="pct"/>
            <w:vAlign w:val="center"/>
          </w:tcPr>
          <w:p>
            <w:pPr>
              <w:tabs>
                <w:tab w:val="clear" w:pos="426"/>
              </w:tabs>
              <w:adjustRightInd/>
              <w:snapToGrid/>
              <w:spacing w:line="240" w:lineRule="auto"/>
              <w:rPr>
                <w:szCs w:val="21"/>
                <w:highlight w:val="none"/>
              </w:rPr>
            </w:pPr>
            <w:r>
              <w:rPr>
                <w:rFonts w:hint="eastAsia"/>
                <w:szCs w:val="21"/>
                <w:highlight w:val="none"/>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4" w:type="pct"/>
            <w:vAlign w:val="center"/>
          </w:tcPr>
          <w:p>
            <w:pPr>
              <w:tabs>
                <w:tab w:val="clear" w:pos="426"/>
              </w:tabs>
              <w:adjustRightInd/>
              <w:snapToGrid/>
              <w:spacing w:line="240" w:lineRule="auto"/>
              <w:rPr>
                <w:szCs w:val="21"/>
                <w:highlight w:val="none"/>
              </w:rPr>
            </w:pPr>
            <w:r>
              <w:rPr>
                <w:rFonts w:hint="eastAsia"/>
                <w:szCs w:val="21"/>
                <w:highlight w:val="none"/>
              </w:rPr>
              <w:t>是否长期服务项目</w:t>
            </w:r>
          </w:p>
        </w:tc>
        <w:tc>
          <w:tcPr>
            <w:tcW w:w="3856" w:type="pct"/>
            <w:vAlign w:val="center"/>
          </w:tcPr>
          <w:p>
            <w:pPr>
              <w:tabs>
                <w:tab w:val="clear" w:pos="426"/>
              </w:tabs>
              <w:spacing w:line="240" w:lineRule="auto"/>
              <w:jc w:val="left"/>
              <w:rPr>
                <w:szCs w:val="21"/>
                <w:highlight w:val="none"/>
              </w:rPr>
            </w:pPr>
            <w:r>
              <w:rPr>
                <w:rFonts w:hint="eastAsia"/>
                <w:szCs w:val="21"/>
                <w:highlight w:val="none"/>
              </w:rPr>
              <w:t>■是</w:t>
            </w:r>
            <w:r>
              <w:rPr>
                <w:rFonts w:hint="eastAsia"/>
                <w:szCs w:val="21"/>
                <w:highlight w:val="none"/>
                <w:lang w:eastAsia="zh-CN"/>
              </w:rPr>
              <w:t>，</w:t>
            </w:r>
            <w:r>
              <w:rPr>
                <w:rFonts w:hint="eastAsia"/>
                <w:highlight w:val="none"/>
              </w:rPr>
              <w:t>合同签订</w:t>
            </w:r>
            <w:r>
              <w:rPr>
                <w:highlight w:val="none"/>
              </w:rPr>
              <w:t>1年，到期后，根据服务质量情况甲方可与</w:t>
            </w:r>
            <w:r>
              <w:rPr>
                <w:rFonts w:hint="eastAsia"/>
                <w:highlight w:val="none"/>
                <w:lang w:val="en-US" w:eastAsia="zh-CN"/>
              </w:rPr>
              <w:t>成交</w:t>
            </w:r>
            <w:r>
              <w:rPr>
                <w:highlight w:val="none"/>
              </w:rPr>
              <w:t>人续签1年。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4" w:type="pct"/>
            <w:vAlign w:val="center"/>
          </w:tcPr>
          <w:p>
            <w:pPr>
              <w:tabs>
                <w:tab w:val="clear" w:pos="426"/>
              </w:tabs>
              <w:adjustRightInd/>
              <w:snapToGrid/>
              <w:spacing w:line="240" w:lineRule="auto"/>
              <w:rPr>
                <w:szCs w:val="21"/>
                <w:highlight w:val="none"/>
              </w:rPr>
            </w:pPr>
            <w:r>
              <w:rPr>
                <w:szCs w:val="21"/>
                <w:highlight w:val="none"/>
              </w:rPr>
              <w:t>采购方式</w:t>
            </w:r>
          </w:p>
        </w:tc>
        <w:tc>
          <w:tcPr>
            <w:tcW w:w="3856" w:type="pct"/>
            <w:vAlign w:val="center"/>
          </w:tcPr>
          <w:p>
            <w:pPr>
              <w:tabs>
                <w:tab w:val="clear" w:pos="426"/>
              </w:tabs>
              <w:adjustRightInd/>
              <w:snapToGrid/>
              <w:spacing w:line="240" w:lineRule="auto"/>
              <w:rPr>
                <w:szCs w:val="21"/>
                <w:highlight w:val="none"/>
              </w:rPr>
            </w:pPr>
            <w:r>
              <w:rPr>
                <w:rFonts w:hint="eastAsia"/>
                <w:szCs w:val="21"/>
                <w:highlight w:val="none"/>
              </w:rPr>
              <w:t>竞争性谈判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4" w:type="pct"/>
            <w:vAlign w:val="center"/>
          </w:tcPr>
          <w:p>
            <w:pPr>
              <w:tabs>
                <w:tab w:val="clear" w:pos="426"/>
              </w:tabs>
              <w:adjustRightInd/>
              <w:snapToGrid/>
              <w:spacing w:line="240" w:lineRule="auto"/>
              <w:rPr>
                <w:szCs w:val="21"/>
                <w:highlight w:val="none"/>
              </w:rPr>
            </w:pPr>
            <w:r>
              <w:rPr>
                <w:szCs w:val="21"/>
                <w:highlight w:val="none"/>
              </w:rPr>
              <w:t>货币类型</w:t>
            </w:r>
          </w:p>
        </w:tc>
        <w:tc>
          <w:tcPr>
            <w:tcW w:w="3856" w:type="pct"/>
            <w:vAlign w:val="center"/>
          </w:tcPr>
          <w:p>
            <w:pPr>
              <w:tabs>
                <w:tab w:val="clear" w:pos="426"/>
              </w:tabs>
              <w:adjustRightInd/>
              <w:snapToGrid/>
              <w:spacing w:line="240" w:lineRule="auto"/>
              <w:rPr>
                <w:szCs w:val="21"/>
                <w:highlight w:val="none"/>
              </w:rPr>
            </w:pPr>
            <w:r>
              <w:rPr>
                <w:szCs w:val="21"/>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44" w:type="pct"/>
            <w:vAlign w:val="center"/>
          </w:tcPr>
          <w:p>
            <w:pPr>
              <w:tabs>
                <w:tab w:val="clear" w:pos="426"/>
              </w:tabs>
              <w:adjustRightInd/>
              <w:snapToGrid/>
              <w:spacing w:line="240" w:lineRule="auto"/>
              <w:rPr>
                <w:szCs w:val="21"/>
                <w:highlight w:val="none"/>
              </w:rPr>
            </w:pPr>
            <w:r>
              <w:rPr>
                <w:rFonts w:hint="eastAsia"/>
                <w:szCs w:val="21"/>
                <w:highlight w:val="none"/>
              </w:rPr>
              <w:t>谈判文件结构</w:t>
            </w:r>
          </w:p>
        </w:tc>
        <w:tc>
          <w:tcPr>
            <w:tcW w:w="3856" w:type="pct"/>
            <w:vAlign w:val="center"/>
          </w:tcPr>
          <w:p>
            <w:pPr>
              <w:tabs>
                <w:tab w:val="clear" w:pos="426"/>
              </w:tabs>
              <w:adjustRightInd/>
              <w:snapToGrid/>
              <w:spacing w:line="240" w:lineRule="auto"/>
              <w:rPr>
                <w:szCs w:val="21"/>
                <w:highlight w:val="none"/>
              </w:rPr>
            </w:pPr>
            <w:r>
              <w:rPr>
                <w:szCs w:val="21"/>
                <w:highlight w:val="none"/>
              </w:rPr>
              <w:t>1.本谈判文件分为第一册“专用条款”和第二册“通用条款”。</w:t>
            </w:r>
          </w:p>
          <w:p>
            <w:pPr>
              <w:tabs>
                <w:tab w:val="clear" w:pos="426"/>
              </w:tabs>
              <w:adjustRightInd/>
              <w:snapToGrid/>
              <w:spacing w:line="240" w:lineRule="auto"/>
              <w:rPr>
                <w:szCs w:val="21"/>
                <w:highlight w:val="none"/>
              </w:rPr>
            </w:pPr>
            <w:r>
              <w:rPr>
                <w:szCs w:val="21"/>
                <w:highlight w:val="none"/>
              </w:rPr>
              <w:t>2.“专用条款”是对本次采购项目的具体要求，包含谈判邀请公告、谈判项目需求、合同条款及格式、谈判应答文件格式、附件等内容。</w:t>
            </w:r>
          </w:p>
          <w:p>
            <w:pPr>
              <w:tabs>
                <w:tab w:val="clear" w:pos="426"/>
              </w:tabs>
              <w:adjustRightInd/>
              <w:snapToGrid/>
              <w:spacing w:line="240" w:lineRule="auto"/>
              <w:rPr>
                <w:szCs w:val="21"/>
                <w:highlight w:val="none"/>
              </w:rPr>
            </w:pPr>
            <w:r>
              <w:rPr>
                <w:szCs w:val="21"/>
                <w:highlight w:val="none"/>
              </w:rPr>
              <w:t>3.“通用条款”是通用于政府采购项目的基础性条款，具有普遍性和通用性。</w:t>
            </w:r>
          </w:p>
          <w:p>
            <w:pPr>
              <w:tabs>
                <w:tab w:val="clear" w:pos="426"/>
              </w:tabs>
              <w:adjustRightInd/>
              <w:snapToGrid/>
              <w:spacing w:line="240" w:lineRule="auto"/>
              <w:rPr>
                <w:szCs w:val="21"/>
                <w:highlight w:val="none"/>
              </w:rPr>
            </w:pPr>
            <w:r>
              <w:rPr>
                <w:szCs w:val="21"/>
                <w:highlight w:val="none"/>
              </w:rPr>
              <w:t>4.当出现“专用条款”和“通用条款”表述不一致或有冲突时，以“专用条款”为准。</w:t>
            </w:r>
          </w:p>
        </w:tc>
      </w:tr>
    </w:tbl>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r>
        <w:rPr>
          <w:highlight w:val="none"/>
        </w:rPr>
        <w:br w:type="page"/>
      </w:r>
    </w:p>
    <w:p>
      <w:pPr>
        <w:pStyle w:val="33"/>
        <w:tabs>
          <w:tab w:val="clear" w:pos="426"/>
        </w:tabs>
        <w:rPr>
          <w:highlight w:val="none"/>
        </w:rPr>
      </w:pPr>
      <w:bookmarkStart w:id="2" w:name="_Toc12432"/>
      <w:r>
        <w:rPr>
          <w:rFonts w:hint="eastAsia"/>
          <w:highlight w:val="none"/>
        </w:rPr>
        <w:t>资格、符合性评审条款</w:t>
      </w:r>
      <w:bookmarkEnd w:id="2"/>
    </w:p>
    <w:p>
      <w:pPr>
        <w:tabs>
          <w:tab w:val="clear" w:pos="426"/>
        </w:tabs>
        <w:jc w:val="center"/>
        <w:rPr>
          <w:b/>
          <w:color w:val="FF0000"/>
          <w:highlight w:val="none"/>
        </w:rPr>
      </w:pPr>
      <w:r>
        <w:rPr>
          <w:rFonts w:hint="eastAsia"/>
          <w:b/>
          <w:color w:val="FF0000"/>
          <w:highlight w:val="none"/>
        </w:rPr>
        <w:t>（凡有下列情形之一的，将导致谈判应答无效</w:t>
      </w:r>
      <w:r>
        <w:rPr>
          <w:rFonts w:hint="eastAsia" w:ascii="黑体" w:eastAsia="黑体"/>
          <w:color w:val="FF0000"/>
          <w:szCs w:val="21"/>
          <w:highlight w:val="none"/>
        </w:rPr>
        <w:t>）</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7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378" w:type="pct"/>
            <w:vAlign w:val="center"/>
          </w:tcPr>
          <w:p>
            <w:pPr>
              <w:tabs>
                <w:tab w:val="clear" w:pos="426"/>
              </w:tabs>
              <w:adjustRightInd/>
              <w:snapToGrid/>
              <w:spacing w:line="240" w:lineRule="auto"/>
              <w:jc w:val="center"/>
              <w:rPr>
                <w:b/>
                <w:highlight w:val="none"/>
              </w:rPr>
            </w:pPr>
            <w:r>
              <w:rPr>
                <w:rFonts w:hint="eastAsia"/>
                <w:b/>
                <w:highlight w:val="none"/>
              </w:rPr>
              <w:t>序号</w:t>
            </w:r>
          </w:p>
        </w:tc>
        <w:tc>
          <w:tcPr>
            <w:tcW w:w="4622" w:type="pct"/>
            <w:vAlign w:val="center"/>
          </w:tcPr>
          <w:p>
            <w:pPr>
              <w:tabs>
                <w:tab w:val="clear" w:pos="426"/>
              </w:tabs>
              <w:adjustRightInd/>
              <w:snapToGrid/>
              <w:spacing w:line="240" w:lineRule="auto"/>
              <w:jc w:val="center"/>
              <w:rPr>
                <w:b/>
                <w:highlight w:val="none"/>
              </w:rPr>
            </w:pPr>
            <w:r>
              <w:rPr>
                <w:rFonts w:hint="eastAsia"/>
                <w:b/>
                <w:highlight w:val="none"/>
              </w:rPr>
              <w:t>评</w:t>
            </w:r>
            <w:r>
              <w:rPr>
                <w:b/>
                <w:highlight w:val="none"/>
              </w:rPr>
              <w:t xml:space="preserve"> </w:t>
            </w:r>
            <w:r>
              <w:rPr>
                <w:rFonts w:hint="eastAsia"/>
                <w:b/>
                <w:highlight w:val="none"/>
              </w:rPr>
              <w:t>审</w:t>
            </w:r>
            <w:r>
              <w:rPr>
                <w:b/>
                <w:highlight w:val="none"/>
              </w:rPr>
              <w:t xml:space="preserve"> </w:t>
            </w:r>
            <w:r>
              <w:rPr>
                <w:rFonts w:hint="eastAsia"/>
                <w:b/>
                <w:highlight w:val="none"/>
              </w:rPr>
              <w:t>内</w:t>
            </w:r>
            <w:r>
              <w:rPr>
                <w:b/>
                <w:highlight w:val="none"/>
              </w:rPr>
              <w:t xml:space="preserve"> </w:t>
            </w:r>
            <w:r>
              <w:rPr>
                <w:rFonts w:hint="eastAsia"/>
                <w:b/>
                <w:highlight w:val="none"/>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5000" w:type="pct"/>
            <w:gridSpan w:val="2"/>
            <w:vAlign w:val="center"/>
          </w:tcPr>
          <w:p>
            <w:pPr>
              <w:tabs>
                <w:tab w:val="clear" w:pos="426"/>
              </w:tabs>
              <w:adjustRightInd/>
              <w:snapToGrid/>
              <w:spacing w:line="240" w:lineRule="auto"/>
              <w:jc w:val="center"/>
              <w:rPr>
                <w:b/>
                <w:highlight w:val="none"/>
              </w:rPr>
            </w:pPr>
            <w:r>
              <w:rPr>
                <w:rFonts w:hint="eastAsia"/>
                <w:highlight w:val="none"/>
              </w:rPr>
              <w:t>资格性审查表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378" w:type="pct"/>
            <w:vAlign w:val="center"/>
          </w:tcPr>
          <w:p>
            <w:pPr>
              <w:numPr>
                <w:ilvl w:val="0"/>
                <w:numId w:val="21"/>
              </w:numPr>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rFonts w:hint="eastAsia"/>
                <w:highlight w:val="none"/>
              </w:rPr>
              <w:t>谈判应答人不具备谈判资质要求，或未提交相应资质证明材料；</w:t>
            </w:r>
            <w:r>
              <w:rPr>
                <w:highlight w:val="none"/>
              </w:rPr>
              <w:t>(详见采购公告“谈判应答人资质要求”，其中未列示的资质要求不得导致谈判应答无效。)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5000" w:type="pct"/>
            <w:gridSpan w:val="2"/>
            <w:vAlign w:val="center"/>
          </w:tcPr>
          <w:p>
            <w:pPr>
              <w:tabs>
                <w:tab w:val="clear" w:pos="426"/>
              </w:tabs>
              <w:adjustRightInd/>
              <w:snapToGrid/>
              <w:spacing w:line="240" w:lineRule="auto"/>
              <w:jc w:val="center"/>
              <w:rPr>
                <w:highlight w:val="none"/>
              </w:rPr>
            </w:pPr>
            <w:r>
              <w:rPr>
                <w:rFonts w:hint="eastAsia"/>
                <w:highlight w:val="none"/>
              </w:rPr>
              <w:t>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378" w:type="pct"/>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rFonts w:hint="eastAsia"/>
                <w:highlight w:val="none"/>
              </w:rPr>
              <w:t>将一个包或一个标段的内容拆开谈判应答；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378" w:type="pct"/>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rFonts w:hint="eastAsia"/>
                <w:highlight w:val="none"/>
              </w:rPr>
              <w:t>谈判应答文件及谈判初始报价一览表未按谈判文件规定密封、签字、盖章；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378" w:type="pct"/>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rFonts w:hint="eastAsia"/>
                <w:highlight w:val="none"/>
              </w:rPr>
              <w:t>对同一项目谈判应答时，提供两套以上的谈判应答方案（谈判文件另有规定的除外）；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378" w:type="pct"/>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rFonts w:hint="eastAsia"/>
                <w:highlight w:val="none"/>
              </w:rPr>
              <w:t>未按照谈判文件规定要求签署、盖章或谈判应答文件没有法定代表人签字，或签字人没有法定代表人有效授权书的；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378" w:type="pct"/>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rFonts w:hint="eastAsia"/>
                <w:highlight w:val="none"/>
              </w:rPr>
              <w:t>未按谈判文件所提供的样式填写</w:t>
            </w:r>
            <w:r>
              <w:rPr>
                <w:highlight w:val="none"/>
              </w:rPr>
              <w:t>《</w:t>
            </w:r>
            <w:r>
              <w:rPr>
                <w:rFonts w:hint="eastAsia"/>
                <w:highlight w:val="none"/>
              </w:rPr>
              <w:t>谈判应答函》；未按谈判文件所提供的《政府采购谈判应答及履约承诺函》进行承诺；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378" w:type="pct"/>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rFonts w:hint="eastAsia"/>
                <w:highlight w:val="none"/>
              </w:rPr>
              <w:t>谈判应答总价或分项报价高于财政预算限额（最高谈判应答限价）；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trPr>
        <w:tc>
          <w:tcPr>
            <w:tcW w:w="378" w:type="pct"/>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szCs w:val="21"/>
                <w:highlight w:val="none"/>
              </w:rPr>
              <w:t>同一项目出现两个及以上报价，且按规定无法确定哪个是有效报价；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378" w:type="pct"/>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rFonts w:hint="eastAsia"/>
                <w:highlight w:val="none"/>
              </w:rPr>
              <w:t>谈判小组认为谈判应答人的报价明显低于其他通过符合性审查谈判应答人的报价，有可能影响产品质量或者不能诚信履约的，且不能在合理的时间内提供书面说明，或无法提交相关证明材料，谈判应答人不能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378" w:type="pct"/>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rFonts w:hint="eastAsia"/>
                <w:highlight w:val="none"/>
              </w:rPr>
              <w:t>所投产品、工程、服务在商务、技术等方面没有实质性满足谈判文件要求的；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378" w:type="pct"/>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rFonts w:hint="eastAsia"/>
                <w:highlight w:val="none"/>
              </w:rPr>
              <w:t>谈判应答报价有严重缺漏项目或对谈判文件规定的服务清单项目及数量进行修改；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378" w:type="pct"/>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rFonts w:hint="eastAsia"/>
                <w:highlight w:val="none"/>
              </w:rPr>
              <w:t>谈判应答文件存在谈判文件中规定的其它无效谈判应答条款的；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378" w:type="pct"/>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4622" w:type="pct"/>
            <w:vAlign w:val="center"/>
          </w:tcPr>
          <w:p>
            <w:pPr>
              <w:tabs>
                <w:tab w:val="clear" w:pos="426"/>
              </w:tabs>
              <w:adjustRightInd/>
              <w:snapToGrid/>
              <w:spacing w:line="240" w:lineRule="auto"/>
              <w:rPr>
                <w:highlight w:val="none"/>
              </w:rPr>
            </w:pPr>
            <w:r>
              <w:rPr>
                <w:rFonts w:hint="eastAsia"/>
                <w:highlight w:val="none"/>
              </w:rPr>
              <w:t>法律、法规规定的属于谈判应答无效的其他情形。</w:t>
            </w:r>
          </w:p>
        </w:tc>
      </w:tr>
    </w:tbl>
    <w:p>
      <w:pPr>
        <w:pStyle w:val="33"/>
        <w:widowControl w:val="0"/>
        <w:shd w:val="clear" w:color="auto" w:fill="auto"/>
        <w:tabs>
          <w:tab w:val="clear" w:pos="426"/>
        </w:tabs>
        <w:adjustRightInd/>
        <w:snapToGrid/>
        <w:jc w:val="both"/>
        <w:outlineLvl w:val="9"/>
        <w:rPr>
          <w:sz w:val="21"/>
          <w:szCs w:val="21"/>
          <w:highlight w:val="none"/>
        </w:rPr>
      </w:pPr>
    </w:p>
    <w:p>
      <w:pPr>
        <w:tabs>
          <w:tab w:val="clear" w:pos="426"/>
        </w:tabs>
        <w:rPr>
          <w:highlight w:val="none"/>
        </w:rPr>
      </w:pPr>
    </w:p>
    <w:p>
      <w:pPr>
        <w:tabs>
          <w:tab w:val="clear" w:pos="426"/>
        </w:tabs>
        <w:rPr>
          <w:highlight w:val="none"/>
        </w:rPr>
      </w:pPr>
      <w:r>
        <w:rPr>
          <w:highlight w:val="none"/>
        </w:rPr>
        <w:br w:type="page"/>
      </w:r>
    </w:p>
    <w:p>
      <w:pPr>
        <w:pStyle w:val="33"/>
        <w:tabs>
          <w:tab w:val="clear" w:pos="426"/>
        </w:tabs>
        <w:rPr>
          <w:highlight w:val="none"/>
        </w:rPr>
      </w:pPr>
      <w:bookmarkStart w:id="3" w:name="_Toc22506"/>
      <w:r>
        <w:rPr>
          <w:rFonts w:hint="eastAsia"/>
          <w:highlight w:val="none"/>
        </w:rPr>
        <w:t>评审办法</w:t>
      </w:r>
      <w:bookmarkEnd w:id="3"/>
    </w:p>
    <w:p>
      <w:pPr>
        <w:tabs>
          <w:tab w:val="clear" w:pos="426"/>
        </w:tabs>
        <w:ind w:firstLine="426" w:firstLineChars="202"/>
        <w:rPr>
          <w:highlight w:val="none"/>
        </w:rPr>
      </w:pPr>
      <w:r>
        <w:rPr>
          <w:rFonts w:hint="eastAsia"/>
          <w:b/>
          <w:szCs w:val="21"/>
          <w:highlight w:val="none"/>
        </w:rPr>
        <w:t>依照《中华人民共和国政府采购法》及其实施细则等，结合本项目特点，制定本办法。本谈判文件所述评审方法与谈判文件《通用条款》所述不一致之处，以下方法为准。</w:t>
      </w:r>
    </w:p>
    <w:p>
      <w:pPr>
        <w:tabs>
          <w:tab w:val="clear" w:pos="426"/>
        </w:tabs>
        <w:ind w:firstLine="424" w:firstLineChars="202"/>
        <w:rPr>
          <w:highlight w:val="none"/>
        </w:rPr>
      </w:pPr>
      <w:r>
        <w:rPr>
          <w:rFonts w:hint="eastAsia"/>
          <w:highlight w:val="none"/>
        </w:rPr>
        <w:t>一、谈判方法：最低评标价法。</w:t>
      </w:r>
    </w:p>
    <w:p>
      <w:pPr>
        <w:tabs>
          <w:tab w:val="clear" w:pos="426"/>
        </w:tabs>
        <w:ind w:firstLine="424" w:firstLineChars="202"/>
        <w:rPr>
          <w:highlight w:val="none"/>
        </w:rPr>
      </w:pPr>
      <w:r>
        <w:rPr>
          <w:rFonts w:hint="eastAsia"/>
          <w:bCs/>
          <w:highlight w:val="none"/>
        </w:rPr>
        <w:t>成交供应商数量：采购人根据谈判小组对谈判供应商的评审意见，</w:t>
      </w:r>
      <w:r>
        <w:rPr>
          <w:rFonts w:hint="eastAsia"/>
          <w:highlight w:val="none"/>
        </w:rPr>
        <w:t>确定1家成交供应商。</w:t>
      </w:r>
    </w:p>
    <w:p>
      <w:pPr>
        <w:tabs>
          <w:tab w:val="clear" w:pos="426"/>
        </w:tabs>
        <w:ind w:firstLine="424" w:firstLineChars="202"/>
        <w:rPr>
          <w:highlight w:val="none"/>
        </w:rPr>
      </w:pPr>
      <w:r>
        <w:rPr>
          <w:rFonts w:hint="eastAsia"/>
          <w:highlight w:val="none"/>
        </w:rPr>
        <w:t>供应商数量要求：根据竞争性谈判的评审原则，当本项目单个包的合格投标供应商数量小于2家</w:t>
      </w:r>
      <w:r>
        <w:rPr>
          <w:highlight w:val="none"/>
        </w:rPr>
        <w:t>时，</w:t>
      </w:r>
      <w:r>
        <w:rPr>
          <w:rFonts w:hint="eastAsia"/>
          <w:highlight w:val="none"/>
        </w:rPr>
        <w:t>该包</w:t>
      </w:r>
      <w:r>
        <w:rPr>
          <w:highlight w:val="none"/>
        </w:rPr>
        <w:t>废标</w:t>
      </w:r>
      <w:r>
        <w:rPr>
          <w:rFonts w:hint="eastAsia"/>
          <w:highlight w:val="none"/>
        </w:rPr>
        <w:t>，待采购单位确认后代理机构将单独对该包组织重新采购，</w:t>
      </w:r>
      <w:r>
        <w:rPr>
          <w:highlight w:val="none"/>
        </w:rPr>
        <w:t>当本项目</w:t>
      </w:r>
      <w:r>
        <w:rPr>
          <w:rFonts w:hint="eastAsia"/>
          <w:highlight w:val="none"/>
        </w:rPr>
        <w:t>的</w:t>
      </w:r>
      <w:r>
        <w:rPr>
          <w:highlight w:val="none"/>
        </w:rPr>
        <w:t>投标供应商数量大于等于</w:t>
      </w:r>
      <w:r>
        <w:rPr>
          <w:rFonts w:hint="eastAsia"/>
          <w:highlight w:val="none"/>
        </w:rPr>
        <w:t>2家</w:t>
      </w:r>
      <w:r>
        <w:rPr>
          <w:highlight w:val="none"/>
        </w:rPr>
        <w:t>时，</w:t>
      </w:r>
      <w:r>
        <w:rPr>
          <w:rFonts w:hint="eastAsia"/>
          <w:highlight w:val="none"/>
        </w:rPr>
        <w:t>谈判小组按照以下方法进行评审。</w:t>
      </w:r>
    </w:p>
    <w:p>
      <w:pPr>
        <w:tabs>
          <w:tab w:val="clear" w:pos="426"/>
        </w:tabs>
        <w:ind w:firstLine="424" w:firstLineChars="202"/>
        <w:rPr>
          <w:highlight w:val="none"/>
        </w:rPr>
      </w:pPr>
      <w:r>
        <w:rPr>
          <w:rFonts w:hint="eastAsia"/>
          <w:highlight w:val="none"/>
        </w:rPr>
        <w:t>谈判应答文件的制作：谈判供应商应按照谈判文件要求，按制作、密封、递交谈判应答文件。</w:t>
      </w:r>
    </w:p>
    <w:p>
      <w:pPr>
        <w:tabs>
          <w:tab w:val="clear" w:pos="426"/>
        </w:tabs>
        <w:ind w:firstLine="424" w:firstLineChars="202"/>
        <w:rPr>
          <w:b/>
          <w:color w:val="FF0000"/>
          <w:highlight w:val="none"/>
        </w:rPr>
      </w:pPr>
      <w:r>
        <w:rPr>
          <w:rFonts w:hint="eastAsia"/>
          <w:highlight w:val="none"/>
        </w:rPr>
        <w:t>成交价：投标供应商所中标包的投标报价将作为成交价。</w:t>
      </w:r>
    </w:p>
    <w:p>
      <w:pPr>
        <w:tabs>
          <w:tab w:val="clear" w:pos="426"/>
        </w:tabs>
        <w:ind w:firstLine="424" w:firstLineChars="202"/>
        <w:rPr>
          <w:highlight w:val="none"/>
        </w:rPr>
      </w:pPr>
      <w:r>
        <w:rPr>
          <w:rFonts w:hint="eastAsia"/>
          <w:highlight w:val="none"/>
        </w:rPr>
        <w:t>最低评标价法，是指谈判应答文件满足谈判文件全部实质性要求，且谈判应答报价最低的谈判应答人为候选成交人的谈判方法。</w:t>
      </w:r>
    </w:p>
    <w:p>
      <w:pPr>
        <w:tabs>
          <w:tab w:val="clear" w:pos="426"/>
        </w:tabs>
        <w:ind w:firstLine="424" w:firstLineChars="202"/>
        <w:rPr>
          <w:highlight w:val="none"/>
        </w:rPr>
      </w:pPr>
      <w:r>
        <w:rPr>
          <w:rFonts w:hint="eastAsia"/>
          <w:highlight w:val="none"/>
        </w:rPr>
        <w:t>采用最低评标价法谈判时，除了算术修正和落实政府采购政策需进行的价格扣除外，不能对谈判应答人的谈判应答价格进行任何调整。</w:t>
      </w:r>
    </w:p>
    <w:p>
      <w:pPr>
        <w:tabs>
          <w:tab w:val="clear" w:pos="426"/>
        </w:tabs>
        <w:ind w:firstLine="424" w:firstLineChars="202"/>
        <w:rPr>
          <w:highlight w:val="none"/>
        </w:rPr>
      </w:pPr>
      <w:r>
        <w:rPr>
          <w:rFonts w:hint="eastAsia"/>
          <w:highlight w:val="none"/>
        </w:rPr>
        <w:t>采用最低评标价法的，谈判结果按谈判应答报价由低到高顺序排列。谈判应答文件满足谈判文件全部实质性要求且谈判应答报价最低的谈判应答人为排名第一的候选成交人。</w:t>
      </w:r>
    </w:p>
    <w:p>
      <w:pPr>
        <w:tabs>
          <w:tab w:val="clear" w:pos="426"/>
        </w:tabs>
        <w:ind w:firstLine="424" w:firstLineChars="202"/>
        <w:rPr>
          <w:highlight w:val="none"/>
        </w:rPr>
      </w:pPr>
      <w:r>
        <w:rPr>
          <w:rFonts w:hint="eastAsia"/>
          <w:highlight w:val="none"/>
        </w:rPr>
        <w:t>谈判应答报价相同的并列的，按技术指标或服务方案优劣顺序排列；排列第一名的谈判应答人获得候选成交人推荐资格。谈判应答报价相同的且技术指标或服务方案优劣相同的，采取随机抽取方式确定候选成交人推荐资格。</w:t>
      </w:r>
    </w:p>
    <w:p>
      <w:pPr>
        <w:tabs>
          <w:tab w:val="clear" w:pos="426"/>
        </w:tabs>
        <w:ind w:firstLine="424" w:firstLineChars="202"/>
        <w:rPr>
          <w:highlight w:val="none"/>
        </w:rPr>
      </w:pPr>
      <w:r>
        <w:rPr>
          <w:rFonts w:hint="eastAsia"/>
          <w:highlight w:val="none"/>
        </w:rPr>
        <w:t>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无效谈判应答处理或者取消该应商的成交资格，按顺序由排在后面的供应商递补，以此类推。（若评审委员会成员对是否须由谈判应答人作出报价合理性说明，以及书面说明是否采纳等判断不一致的，按照“少数服从多数”的原则确定评审委员会的意见）。</w:t>
      </w:r>
    </w:p>
    <w:p>
      <w:pPr>
        <w:tabs>
          <w:tab w:val="clear" w:pos="426"/>
        </w:tabs>
        <w:ind w:firstLine="424" w:firstLineChars="202"/>
        <w:rPr>
          <w:highlight w:val="none"/>
        </w:rPr>
      </w:pPr>
      <w:r>
        <w:rPr>
          <w:rFonts w:hint="eastAsia"/>
          <w:highlight w:val="none"/>
        </w:rPr>
        <w:t>二、谈判具体由采购人依法组建的谈判小组负责。</w:t>
      </w:r>
    </w:p>
    <w:p>
      <w:pPr>
        <w:tabs>
          <w:tab w:val="clear" w:pos="426"/>
        </w:tabs>
        <w:ind w:firstLine="424" w:firstLineChars="202"/>
        <w:rPr>
          <w:highlight w:val="none"/>
        </w:rPr>
      </w:pPr>
      <w:r>
        <w:rPr>
          <w:rFonts w:hint="eastAsia"/>
          <w:highlight w:val="none"/>
        </w:rPr>
        <w:t>1</w:t>
      </w:r>
      <w:r>
        <w:rPr>
          <w:highlight w:val="none"/>
        </w:rPr>
        <w:t>.</w:t>
      </w:r>
      <w:r>
        <w:rPr>
          <w:rFonts w:hint="eastAsia"/>
          <w:highlight w:val="none"/>
        </w:rPr>
        <w:t>谈判小组由采购人或采购代理机构依法组建，负责谈判活动，向采购人推荐成交候选人排序。</w:t>
      </w:r>
    </w:p>
    <w:p>
      <w:pPr>
        <w:tabs>
          <w:tab w:val="clear" w:pos="426"/>
        </w:tabs>
        <w:ind w:firstLine="424" w:firstLineChars="202"/>
        <w:rPr>
          <w:highlight w:val="none"/>
        </w:rPr>
      </w:pPr>
      <w:r>
        <w:rPr>
          <w:rFonts w:hint="eastAsia"/>
          <w:highlight w:val="none"/>
        </w:rPr>
        <w:t>2</w:t>
      </w:r>
      <w:r>
        <w:rPr>
          <w:highlight w:val="none"/>
        </w:rPr>
        <w:t>.</w:t>
      </w:r>
      <w:r>
        <w:rPr>
          <w:rFonts w:hint="eastAsia"/>
          <w:highlight w:val="none"/>
        </w:rPr>
        <w:t>采用竞争性谈判的，</w:t>
      </w:r>
      <w:r>
        <w:rPr>
          <w:highlight w:val="none"/>
        </w:rPr>
        <w:t>采用最低评标价法的，谈判小组成员由采购单位代表和有关专家共3人以上（含3人）的单数组成，其中专家的人数不得少于成员总数的三分之二。</w:t>
      </w:r>
    </w:p>
    <w:p>
      <w:pPr>
        <w:tabs>
          <w:tab w:val="clear" w:pos="426"/>
        </w:tabs>
        <w:ind w:firstLine="424" w:firstLineChars="202"/>
        <w:rPr>
          <w:highlight w:val="none"/>
        </w:rPr>
      </w:pPr>
      <w:r>
        <w:rPr>
          <w:rFonts w:hint="eastAsia"/>
          <w:highlight w:val="none"/>
        </w:rPr>
        <w:t>3</w:t>
      </w:r>
      <w:r>
        <w:rPr>
          <w:highlight w:val="none"/>
        </w:rPr>
        <w:t>.</w:t>
      </w:r>
      <w:r>
        <w:rPr>
          <w:rFonts w:hint="eastAsia"/>
          <w:highlight w:val="none"/>
        </w:rPr>
        <w:t xml:space="preserve"> 谈判小组成员应当客观、公正的履行职责，遵守职业道德，对所提出的评审意见承担个人责任。</w:t>
      </w:r>
    </w:p>
    <w:p>
      <w:pPr>
        <w:tabs>
          <w:tab w:val="clear" w:pos="426"/>
        </w:tabs>
        <w:ind w:firstLine="424" w:firstLineChars="202"/>
        <w:rPr>
          <w:highlight w:val="none"/>
        </w:rPr>
      </w:pPr>
      <w:r>
        <w:rPr>
          <w:rFonts w:hint="eastAsia"/>
          <w:highlight w:val="none"/>
        </w:rPr>
        <w:t>4</w:t>
      </w:r>
      <w:r>
        <w:rPr>
          <w:highlight w:val="none"/>
        </w:rPr>
        <w:t>.</w:t>
      </w:r>
      <w:r>
        <w:rPr>
          <w:rFonts w:hint="eastAsia"/>
          <w:highlight w:val="none"/>
        </w:rPr>
        <w:t>谈判小组成员不得与任何供应商或者采购结果有利害关系的人进行私下接触，不得收受供应商、中介人和其他利害关系人的财物或者其他好处。</w:t>
      </w:r>
    </w:p>
    <w:p>
      <w:pPr>
        <w:tabs>
          <w:tab w:val="clear" w:pos="426"/>
        </w:tabs>
        <w:ind w:firstLine="424" w:firstLineChars="202"/>
        <w:rPr>
          <w:highlight w:val="none"/>
        </w:rPr>
      </w:pPr>
      <w:r>
        <w:rPr>
          <w:rFonts w:hint="eastAsia"/>
          <w:highlight w:val="none"/>
        </w:rPr>
        <w:t>5</w:t>
      </w:r>
      <w:r>
        <w:rPr>
          <w:highlight w:val="none"/>
        </w:rPr>
        <w:t>.</w:t>
      </w:r>
      <w:r>
        <w:rPr>
          <w:rFonts w:hint="eastAsia"/>
          <w:highlight w:val="none"/>
        </w:rPr>
        <w:t>谈判小组成员和与评审活动有关的工作人员不得透漏对谈判应答文件的评审和比较、成交候选人的推荐情况以及与评审有关的其他情况。</w:t>
      </w:r>
    </w:p>
    <w:p>
      <w:pPr>
        <w:tabs>
          <w:tab w:val="clear" w:pos="426"/>
        </w:tabs>
        <w:ind w:firstLine="424" w:firstLineChars="202"/>
        <w:rPr>
          <w:highlight w:val="none"/>
        </w:rPr>
      </w:pPr>
      <w:r>
        <w:rPr>
          <w:rFonts w:hint="eastAsia"/>
          <w:highlight w:val="none"/>
        </w:rPr>
        <w:t>本谈判小组将依据竞争性谈判文件中规定的原则和程序，经过一轮谈判，推荐一名候选成交供应商，经采购人书面确认后，确定为成交供应商。</w:t>
      </w:r>
    </w:p>
    <w:p>
      <w:pPr>
        <w:tabs>
          <w:tab w:val="clear" w:pos="426"/>
        </w:tabs>
        <w:ind w:firstLine="424" w:firstLineChars="202"/>
        <w:rPr>
          <w:highlight w:val="none"/>
        </w:rPr>
      </w:pPr>
      <w:r>
        <w:rPr>
          <w:rFonts w:hint="eastAsia"/>
          <w:highlight w:val="none"/>
        </w:rPr>
        <w:t>三、谈判具体程序。</w:t>
      </w:r>
    </w:p>
    <w:p>
      <w:pPr>
        <w:tabs>
          <w:tab w:val="clear" w:pos="426"/>
        </w:tabs>
        <w:ind w:firstLine="424" w:firstLineChars="202"/>
        <w:rPr>
          <w:highlight w:val="none"/>
        </w:rPr>
      </w:pPr>
      <w:r>
        <w:rPr>
          <w:rFonts w:hint="eastAsia"/>
          <w:highlight w:val="none"/>
        </w:rPr>
        <w:t>（一）谈判应答文件的递交</w:t>
      </w:r>
    </w:p>
    <w:p>
      <w:pPr>
        <w:tabs>
          <w:tab w:val="clear" w:pos="426"/>
        </w:tabs>
        <w:ind w:firstLine="424" w:firstLineChars="202"/>
        <w:rPr>
          <w:highlight w:val="none"/>
        </w:rPr>
      </w:pPr>
      <w:r>
        <w:rPr>
          <w:rFonts w:hint="eastAsia"/>
          <w:highlight w:val="none"/>
        </w:rPr>
        <w:t>1</w:t>
      </w:r>
      <w:r>
        <w:rPr>
          <w:highlight w:val="none"/>
        </w:rPr>
        <w:t>.</w:t>
      </w:r>
      <w:r>
        <w:rPr>
          <w:rFonts w:hint="eastAsia"/>
          <w:highlight w:val="none"/>
        </w:rPr>
        <w:t>参加谈判的供应商在谈判文件规定的时间内送达谈判应答文件并签到。待到谈判应答文件递交截止时间，采购代理机构的工作人员宣布不再接受谈判文件。</w:t>
      </w:r>
    </w:p>
    <w:p>
      <w:pPr>
        <w:tabs>
          <w:tab w:val="clear" w:pos="426"/>
        </w:tabs>
        <w:ind w:firstLine="424" w:firstLineChars="202"/>
        <w:rPr>
          <w:highlight w:val="none"/>
        </w:rPr>
      </w:pPr>
      <w:r>
        <w:rPr>
          <w:highlight w:val="none"/>
        </w:rPr>
        <w:t>2.</w:t>
      </w:r>
      <w:r>
        <w:rPr>
          <w:rFonts w:hint="eastAsia"/>
          <w:highlight w:val="none"/>
        </w:rPr>
        <w:t>采购代理机构的工作人员检查确认谈判应答文件的外密封包密封完整性，与谈判应答供应商代表确认无误后，开启谈判应答文件的密封包装，并请供应商交验证明文件（法定代表人证明书、法人授权委托书、被授权的谈判代表身份证复印件与原件）。</w:t>
      </w:r>
    </w:p>
    <w:p>
      <w:pPr>
        <w:tabs>
          <w:tab w:val="clear" w:pos="426"/>
        </w:tabs>
        <w:ind w:firstLine="424" w:firstLineChars="202"/>
        <w:rPr>
          <w:highlight w:val="none"/>
        </w:rPr>
      </w:pPr>
      <w:r>
        <w:rPr>
          <w:rFonts w:hint="eastAsia"/>
          <w:highlight w:val="none"/>
        </w:rPr>
        <w:t>3</w:t>
      </w:r>
      <w:r>
        <w:rPr>
          <w:highlight w:val="none"/>
        </w:rPr>
        <w:t>.</w:t>
      </w:r>
      <w:r>
        <w:rPr>
          <w:rFonts w:hint="eastAsia"/>
          <w:highlight w:val="none"/>
        </w:rPr>
        <w:t>现场公布各家谈判应答文件的初始报价、服务期（或交货期），请各位供应商在会议室等候通知，准备进行谈判和二次报价。</w:t>
      </w:r>
    </w:p>
    <w:p>
      <w:pPr>
        <w:tabs>
          <w:tab w:val="clear" w:pos="426"/>
        </w:tabs>
        <w:ind w:firstLine="424" w:firstLineChars="202"/>
        <w:rPr>
          <w:highlight w:val="none"/>
        </w:rPr>
      </w:pPr>
      <w:r>
        <w:rPr>
          <w:rFonts w:hint="eastAsia"/>
          <w:highlight w:val="none"/>
        </w:rPr>
        <w:t>（二）谈判小组开始谈判</w:t>
      </w:r>
    </w:p>
    <w:p>
      <w:pPr>
        <w:tabs>
          <w:tab w:val="clear" w:pos="426"/>
        </w:tabs>
        <w:ind w:firstLine="424" w:firstLineChars="202"/>
        <w:rPr>
          <w:highlight w:val="none"/>
        </w:rPr>
      </w:pPr>
      <w:r>
        <w:rPr>
          <w:highlight w:val="none"/>
        </w:rPr>
        <w:t>1.</w:t>
      </w:r>
      <w:r>
        <w:rPr>
          <w:rFonts w:hint="eastAsia"/>
          <w:highlight w:val="none"/>
        </w:rPr>
        <w:t>谈判小组成员签到，采购代理机构的主持人宣布谈判规则和谈判纪律。</w:t>
      </w:r>
    </w:p>
    <w:p>
      <w:pPr>
        <w:tabs>
          <w:tab w:val="clear" w:pos="426"/>
        </w:tabs>
        <w:ind w:firstLine="424" w:firstLineChars="202"/>
        <w:rPr>
          <w:highlight w:val="none"/>
        </w:rPr>
      </w:pPr>
      <w:r>
        <w:rPr>
          <w:highlight w:val="none"/>
        </w:rPr>
        <w:t>2.</w:t>
      </w:r>
      <w:r>
        <w:rPr>
          <w:rFonts w:hint="eastAsia"/>
          <w:highlight w:val="none"/>
        </w:rPr>
        <w:t>在谈判前，谈判小组将按照《资格、符合性评审条款》对供应商的谈判应答文件进行初步评审。</w:t>
      </w:r>
      <w:bookmarkStart w:id="4" w:name="_Toc118870901"/>
    </w:p>
    <w:p>
      <w:pPr>
        <w:tabs>
          <w:tab w:val="clear" w:pos="426"/>
        </w:tabs>
        <w:ind w:firstLine="424" w:firstLineChars="202"/>
        <w:rPr>
          <w:szCs w:val="21"/>
          <w:highlight w:val="none"/>
        </w:rPr>
      </w:pPr>
      <w:r>
        <w:rPr>
          <w:szCs w:val="21"/>
          <w:highlight w:val="none"/>
        </w:rPr>
        <w:t>3.实质性响应评审；</w:t>
      </w:r>
    </w:p>
    <w:p>
      <w:pPr>
        <w:tabs>
          <w:tab w:val="clear" w:pos="426"/>
        </w:tabs>
        <w:ind w:firstLine="420" w:firstLineChars="200"/>
        <w:rPr>
          <w:highlight w:val="none"/>
        </w:rPr>
      </w:pPr>
      <w:r>
        <w:rPr>
          <w:highlight w:val="none"/>
        </w:rPr>
        <w:t>经初步评审合格的谈判应答文件，谈判小组应当根据竞争性谈判文件确定的</w:t>
      </w:r>
      <w:r>
        <w:rPr>
          <w:rFonts w:hint="eastAsia"/>
          <w:highlight w:val="none"/>
        </w:rPr>
        <w:t>实质性</w:t>
      </w:r>
      <w:r>
        <w:rPr>
          <w:highlight w:val="none"/>
        </w:rPr>
        <w:t>技术要求和商务要求，对每一供应商的谈判应答文件的技术部分和商务部分有无实质性响应做进一步评审、比较。</w:t>
      </w:r>
    </w:p>
    <w:p>
      <w:pPr>
        <w:tabs>
          <w:tab w:val="clear" w:pos="426"/>
        </w:tabs>
        <w:ind w:firstLine="420" w:firstLineChars="200"/>
        <w:rPr>
          <w:highlight w:val="none"/>
        </w:rPr>
      </w:pPr>
      <w:r>
        <w:rPr>
          <w:rFonts w:hint="eastAsia"/>
          <w:szCs w:val="21"/>
          <w:highlight w:val="none"/>
        </w:rPr>
        <w:t>（1）谈判应答文件不满足竞争性谈判文件规定的任何一项实质性要求的</w:t>
      </w:r>
      <w:r>
        <w:rPr>
          <w:highlight w:val="none"/>
        </w:rPr>
        <w:t>，应作无效谈判应答文件处理。</w:t>
      </w:r>
    </w:p>
    <w:p>
      <w:pPr>
        <w:tabs>
          <w:tab w:val="clear" w:pos="426"/>
        </w:tabs>
        <w:ind w:firstLine="420" w:firstLineChars="200"/>
        <w:rPr>
          <w:szCs w:val="21"/>
          <w:highlight w:val="none"/>
        </w:rPr>
      </w:pPr>
      <w:r>
        <w:rPr>
          <w:rFonts w:hint="eastAsia"/>
          <w:szCs w:val="21"/>
          <w:highlight w:val="none"/>
        </w:rPr>
        <w:t>（2）谈判应答文件对竞争性谈判文件规定的非实质性要求的偏离，超出允许偏离的最大范围或最高项数的，该供应商的竞争性谈判应答文件作无效文件处理。</w:t>
      </w:r>
    </w:p>
    <w:p>
      <w:pPr>
        <w:tabs>
          <w:tab w:val="clear" w:pos="426"/>
        </w:tabs>
        <w:ind w:firstLine="420" w:firstLineChars="200"/>
        <w:rPr>
          <w:szCs w:val="21"/>
          <w:highlight w:val="none"/>
        </w:rPr>
      </w:pPr>
      <w:r>
        <w:rPr>
          <w:rFonts w:hint="eastAsia"/>
          <w:szCs w:val="21"/>
          <w:highlight w:val="none"/>
        </w:rPr>
        <w:t>（3）谈判小组根据竞争性谈判文件的规定对谈判应答文件的谈判应答价格进行调整，供应商不接受调整方式的，或不接受调整后的价格的。</w:t>
      </w:r>
    </w:p>
    <w:p>
      <w:pPr>
        <w:pStyle w:val="280"/>
        <w:rPr>
          <w:rFonts w:ascii="宋体" w:hAnsi="宋体"/>
          <w:sz w:val="21"/>
          <w:szCs w:val="21"/>
          <w:highlight w:val="none"/>
        </w:rPr>
      </w:pPr>
      <w:r>
        <w:rPr>
          <w:rFonts w:hint="eastAsia" w:ascii="宋体" w:hAnsi="宋体"/>
          <w:sz w:val="21"/>
          <w:szCs w:val="21"/>
          <w:highlight w:val="none"/>
        </w:rPr>
        <w:t>（4）供应商以他人的名义谈判应答或出现下列串通谈判应答、弄虚作假谈判应答嫌疑的，该供应商的竞争性谈判应答文件作无效文件处理：</w:t>
      </w:r>
    </w:p>
    <w:p>
      <w:pPr>
        <w:tabs>
          <w:tab w:val="clear" w:pos="426"/>
        </w:tabs>
        <w:ind w:left="420"/>
        <w:rPr>
          <w:szCs w:val="21"/>
          <w:highlight w:val="none"/>
        </w:rPr>
      </w:pPr>
      <w:r>
        <w:rPr>
          <w:rFonts w:hint="eastAsia"/>
          <w:szCs w:val="21"/>
          <w:highlight w:val="none"/>
        </w:rPr>
        <w:t>不同供应商的谈判应答文件内容存在非正常一致的；</w:t>
      </w:r>
    </w:p>
    <w:p>
      <w:pPr>
        <w:pStyle w:val="280"/>
        <w:ind w:left="420" w:firstLine="0" w:firstLineChars="0"/>
        <w:rPr>
          <w:rFonts w:ascii="宋体" w:hAnsi="宋体"/>
          <w:sz w:val="21"/>
          <w:szCs w:val="21"/>
          <w:highlight w:val="none"/>
        </w:rPr>
      </w:pPr>
      <w:r>
        <w:rPr>
          <w:rFonts w:hint="eastAsia" w:ascii="宋体" w:hAnsi="宋体"/>
          <w:sz w:val="21"/>
          <w:szCs w:val="21"/>
          <w:highlight w:val="none"/>
        </w:rPr>
        <w:t>不同供应商的谈判应答文件错漏之处一致的；</w:t>
      </w:r>
    </w:p>
    <w:p>
      <w:pPr>
        <w:pStyle w:val="280"/>
        <w:ind w:left="420" w:firstLine="0" w:firstLineChars="0"/>
        <w:rPr>
          <w:rFonts w:ascii="宋体" w:hAnsi="宋体"/>
          <w:sz w:val="21"/>
          <w:szCs w:val="21"/>
          <w:highlight w:val="none"/>
        </w:rPr>
      </w:pPr>
      <w:r>
        <w:rPr>
          <w:rFonts w:hint="eastAsia" w:ascii="宋体" w:hAnsi="宋体"/>
          <w:sz w:val="21"/>
          <w:szCs w:val="21"/>
          <w:highlight w:val="none"/>
        </w:rPr>
        <w:t>不同供应商的谈判应答报价或者报价组成异常一致或者呈规律性变化的；</w:t>
      </w:r>
    </w:p>
    <w:p>
      <w:pPr>
        <w:pStyle w:val="280"/>
        <w:ind w:left="420" w:firstLine="0" w:firstLineChars="0"/>
        <w:rPr>
          <w:rFonts w:ascii="宋体" w:hAnsi="宋体"/>
          <w:sz w:val="21"/>
          <w:szCs w:val="21"/>
          <w:highlight w:val="none"/>
        </w:rPr>
      </w:pPr>
      <w:r>
        <w:rPr>
          <w:rFonts w:hint="eastAsia" w:ascii="宋体" w:hAnsi="宋体"/>
          <w:sz w:val="21"/>
          <w:szCs w:val="21"/>
          <w:highlight w:val="none"/>
        </w:rPr>
        <w:t>不同供应商的谈判应答文件由同一单位或者同一个人编制的；</w:t>
      </w:r>
    </w:p>
    <w:p>
      <w:pPr>
        <w:tabs>
          <w:tab w:val="clear" w:pos="426"/>
        </w:tabs>
        <w:ind w:left="420"/>
        <w:rPr>
          <w:szCs w:val="21"/>
          <w:highlight w:val="none"/>
        </w:rPr>
      </w:pPr>
      <w:r>
        <w:rPr>
          <w:rFonts w:hint="eastAsia"/>
          <w:szCs w:val="21"/>
          <w:highlight w:val="none"/>
        </w:rPr>
        <w:t>不同供应商的谈判应答文件载明的项目负责人与主要技术人员出现同一人的；</w:t>
      </w:r>
    </w:p>
    <w:p>
      <w:pPr>
        <w:pStyle w:val="280"/>
        <w:ind w:left="420" w:firstLine="0" w:firstLineChars="0"/>
        <w:rPr>
          <w:rFonts w:ascii="宋体" w:hAnsi="宋体"/>
          <w:sz w:val="21"/>
          <w:szCs w:val="21"/>
          <w:highlight w:val="none"/>
        </w:rPr>
      </w:pPr>
      <w:r>
        <w:rPr>
          <w:rFonts w:hint="eastAsia" w:ascii="宋体" w:hAnsi="宋体"/>
          <w:sz w:val="21"/>
          <w:szCs w:val="21"/>
          <w:highlight w:val="none"/>
        </w:rPr>
        <w:t>不同供应商的谈判应答文件相互混装的；</w:t>
      </w:r>
    </w:p>
    <w:p>
      <w:pPr>
        <w:tabs>
          <w:tab w:val="clear" w:pos="426"/>
        </w:tabs>
        <w:ind w:left="420"/>
        <w:rPr>
          <w:szCs w:val="21"/>
          <w:highlight w:val="none"/>
        </w:rPr>
      </w:pPr>
      <w:r>
        <w:rPr>
          <w:rFonts w:hint="eastAsia"/>
          <w:szCs w:val="21"/>
          <w:highlight w:val="none"/>
        </w:rPr>
        <w:t>不同供应商委托同一人谈判应答的；</w:t>
      </w:r>
    </w:p>
    <w:p>
      <w:pPr>
        <w:tabs>
          <w:tab w:val="clear" w:pos="426"/>
        </w:tabs>
        <w:ind w:left="420"/>
        <w:rPr>
          <w:szCs w:val="21"/>
          <w:highlight w:val="none"/>
        </w:rPr>
      </w:pPr>
      <w:r>
        <w:rPr>
          <w:rFonts w:hint="eastAsia"/>
          <w:szCs w:val="21"/>
          <w:highlight w:val="none"/>
        </w:rPr>
        <w:t>不同供应商聘请同一人为其谈判应答提供技术或者经济咨询服务的，但竞争性谈判工程本身要求采用专有技术的除外；</w:t>
      </w:r>
    </w:p>
    <w:p>
      <w:pPr>
        <w:pStyle w:val="280"/>
        <w:ind w:left="420" w:firstLine="0" w:firstLineChars="0"/>
        <w:rPr>
          <w:rFonts w:ascii="宋体" w:hAnsi="宋体"/>
          <w:sz w:val="21"/>
          <w:szCs w:val="21"/>
          <w:highlight w:val="none"/>
        </w:rPr>
      </w:pPr>
      <w:r>
        <w:rPr>
          <w:rFonts w:hint="eastAsia" w:ascii="宋体" w:hAnsi="宋体"/>
          <w:sz w:val="21"/>
          <w:szCs w:val="21"/>
          <w:highlight w:val="none"/>
        </w:rPr>
        <w:t>谈判小组认定的其他串通谈判应答情形。</w:t>
      </w:r>
    </w:p>
    <w:p>
      <w:pPr>
        <w:tabs>
          <w:tab w:val="clear" w:pos="426"/>
        </w:tabs>
        <w:ind w:firstLine="420" w:firstLineChars="200"/>
        <w:rPr>
          <w:szCs w:val="21"/>
          <w:highlight w:val="none"/>
        </w:rPr>
      </w:pPr>
      <w:r>
        <w:rPr>
          <w:rFonts w:hint="eastAsia"/>
          <w:szCs w:val="21"/>
          <w:highlight w:val="none"/>
        </w:rPr>
        <w:t>（5）原竞争性谈判邀请文件有实质性变动的，谈判小组应当通过采购代理机构通知所有参加谈判的供应商。</w:t>
      </w:r>
    </w:p>
    <w:p>
      <w:pPr>
        <w:tabs>
          <w:tab w:val="clear" w:pos="426"/>
        </w:tabs>
        <w:ind w:firstLine="420" w:firstLineChars="200"/>
        <w:rPr>
          <w:szCs w:val="21"/>
          <w:highlight w:val="none"/>
        </w:rPr>
      </w:pPr>
      <w:r>
        <w:rPr>
          <w:szCs w:val="21"/>
          <w:highlight w:val="none"/>
        </w:rPr>
        <w:t>4.</w:t>
      </w:r>
      <w:r>
        <w:rPr>
          <w:rFonts w:hint="eastAsia"/>
          <w:szCs w:val="21"/>
          <w:highlight w:val="none"/>
        </w:rPr>
        <w:t>谈判小组可以用书面形式要求各供应商对其谈判应答文件含义不明确的内容作必要的澄清或者说明，重要问题供应商应以书面形式进行澄清、说明。</w:t>
      </w:r>
    </w:p>
    <w:p>
      <w:pPr>
        <w:tabs>
          <w:tab w:val="clear" w:pos="426"/>
        </w:tabs>
        <w:ind w:firstLine="420" w:firstLineChars="200"/>
        <w:rPr>
          <w:szCs w:val="21"/>
          <w:highlight w:val="none"/>
        </w:rPr>
      </w:pPr>
      <w:r>
        <w:rPr>
          <w:rFonts w:hint="eastAsia"/>
          <w:szCs w:val="21"/>
          <w:highlight w:val="none"/>
        </w:rPr>
        <w:t>允许供应商在谈判结束之前根据谈判小组提出的内容进行澄清、修改或完善，或对项目方案进行相应的调整。供应商对谈判应答文件进行修改，都应形成文字材料，并经供应商谈判授权人签字认可。</w:t>
      </w:r>
    </w:p>
    <w:p>
      <w:pPr>
        <w:tabs>
          <w:tab w:val="clear" w:pos="426"/>
        </w:tabs>
        <w:ind w:firstLine="420" w:firstLineChars="200"/>
        <w:rPr>
          <w:szCs w:val="21"/>
          <w:highlight w:val="none"/>
        </w:rPr>
      </w:pPr>
      <w:r>
        <w:rPr>
          <w:szCs w:val="21"/>
          <w:highlight w:val="none"/>
        </w:rPr>
        <w:t>5.</w:t>
      </w:r>
      <w:r>
        <w:rPr>
          <w:rFonts w:hint="eastAsia"/>
          <w:szCs w:val="21"/>
          <w:highlight w:val="none"/>
        </w:rPr>
        <w:t>对于通过初步评审和实质性响应评审的谈判应答文件，谈判小组就以下谈判内容跟供应商进行谈判；</w:t>
      </w:r>
    </w:p>
    <w:p>
      <w:pPr>
        <w:tabs>
          <w:tab w:val="clear" w:pos="426"/>
        </w:tabs>
        <w:ind w:firstLine="420" w:firstLineChars="200"/>
        <w:rPr>
          <w:szCs w:val="21"/>
          <w:highlight w:val="none"/>
        </w:rPr>
      </w:pPr>
      <w:r>
        <w:rPr>
          <w:rFonts w:hint="eastAsia"/>
          <w:szCs w:val="21"/>
          <w:highlight w:val="none"/>
        </w:rPr>
        <w:t>（1）项目方案；</w:t>
      </w:r>
    </w:p>
    <w:p>
      <w:pPr>
        <w:tabs>
          <w:tab w:val="clear" w:pos="426"/>
        </w:tabs>
        <w:ind w:firstLine="420" w:firstLineChars="200"/>
        <w:rPr>
          <w:szCs w:val="21"/>
          <w:highlight w:val="none"/>
        </w:rPr>
      </w:pPr>
      <w:r>
        <w:rPr>
          <w:rFonts w:hint="eastAsia"/>
          <w:szCs w:val="21"/>
          <w:highlight w:val="none"/>
        </w:rPr>
        <w:t>（2）报价；</w:t>
      </w:r>
    </w:p>
    <w:p>
      <w:pPr>
        <w:tabs>
          <w:tab w:val="clear" w:pos="426"/>
        </w:tabs>
        <w:ind w:firstLine="420" w:firstLineChars="200"/>
        <w:rPr>
          <w:szCs w:val="21"/>
          <w:highlight w:val="none"/>
        </w:rPr>
      </w:pPr>
      <w:r>
        <w:rPr>
          <w:rFonts w:hint="eastAsia"/>
          <w:szCs w:val="21"/>
          <w:highlight w:val="none"/>
        </w:rPr>
        <w:t>（3）其它相关事项。</w:t>
      </w:r>
    </w:p>
    <w:bookmarkEnd w:id="4"/>
    <w:p>
      <w:pPr>
        <w:tabs>
          <w:tab w:val="clear" w:pos="426"/>
        </w:tabs>
        <w:ind w:firstLine="420" w:firstLineChars="200"/>
        <w:rPr>
          <w:szCs w:val="21"/>
          <w:highlight w:val="none"/>
        </w:rPr>
      </w:pPr>
      <w:r>
        <w:rPr>
          <w:rFonts w:hint="eastAsia"/>
          <w:szCs w:val="21"/>
          <w:highlight w:val="none"/>
        </w:rPr>
        <w:t>6</w:t>
      </w:r>
      <w:r>
        <w:rPr>
          <w:szCs w:val="21"/>
          <w:highlight w:val="none"/>
        </w:rPr>
        <w:t>.</w:t>
      </w:r>
      <w:r>
        <w:rPr>
          <w:rFonts w:hint="eastAsia"/>
          <w:szCs w:val="21"/>
          <w:highlight w:val="none"/>
        </w:rPr>
        <w:t>谈判小组参考谈判应答报价的预算金额上限，对供应商的商务谈判应答中谈判应答总价和各项目单价进行讨论。讨论结束后，依据谈判应答截止签到顺序，谈判小组所有成员集中与参与谈判的供应商分别进行谈判。在谈判中，谈判的任何一方不得透露与谈判有关的其它供应商的技术资料、价格或者其他信息。</w:t>
      </w:r>
    </w:p>
    <w:p>
      <w:pPr>
        <w:tabs>
          <w:tab w:val="clear" w:pos="426"/>
        </w:tabs>
        <w:ind w:firstLine="420" w:firstLineChars="200"/>
        <w:rPr>
          <w:szCs w:val="21"/>
          <w:highlight w:val="none"/>
        </w:rPr>
      </w:pPr>
      <w:r>
        <w:rPr>
          <w:rFonts w:hint="eastAsia"/>
          <w:szCs w:val="21"/>
          <w:highlight w:val="none"/>
        </w:rPr>
        <w:t>7</w:t>
      </w:r>
      <w:r>
        <w:rPr>
          <w:szCs w:val="21"/>
          <w:highlight w:val="none"/>
        </w:rPr>
        <w:t>.</w:t>
      </w:r>
      <w:r>
        <w:rPr>
          <w:rFonts w:hint="eastAsia"/>
          <w:szCs w:val="21"/>
          <w:highlight w:val="none"/>
        </w:rPr>
        <w:t>参加谈判的供应商有</w:t>
      </w:r>
      <w:r>
        <w:rPr>
          <w:rFonts w:hint="eastAsia"/>
          <w:b/>
          <w:bCs/>
          <w:szCs w:val="21"/>
          <w:highlight w:val="none"/>
        </w:rPr>
        <w:t>2次</w:t>
      </w:r>
      <w:r>
        <w:rPr>
          <w:rFonts w:hint="eastAsia"/>
          <w:szCs w:val="21"/>
          <w:highlight w:val="none"/>
        </w:rPr>
        <w:t>更改报价的机会，新报价应不高于谈判应答初始报价，各项目单价按所报总价等比例下浮。</w:t>
      </w:r>
    </w:p>
    <w:p>
      <w:pPr>
        <w:tabs>
          <w:tab w:val="clear" w:pos="426"/>
        </w:tabs>
        <w:ind w:firstLine="420" w:firstLineChars="200"/>
        <w:rPr>
          <w:szCs w:val="21"/>
          <w:highlight w:val="none"/>
        </w:rPr>
      </w:pPr>
      <w:r>
        <w:rPr>
          <w:rFonts w:hint="eastAsia"/>
          <w:szCs w:val="21"/>
          <w:highlight w:val="none"/>
        </w:rPr>
        <w:t>第一轮谈判后，供应商应在谈判小组规定的时间内提出更改后的二次报价及书面承诺（格式如下）：</w:t>
      </w: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5000" w:type="pct"/>
          </w:tcPr>
          <w:p>
            <w:pPr>
              <w:widowControl w:val="0"/>
              <w:shd w:val="clear" w:color="auto" w:fill="auto"/>
              <w:tabs>
                <w:tab w:val="clear" w:pos="426"/>
              </w:tabs>
              <w:adjustRightInd/>
              <w:snapToGrid/>
              <w:spacing w:line="240" w:lineRule="auto"/>
              <w:ind w:firstLine="420" w:firstLineChars="200"/>
              <w:jc w:val="center"/>
              <w:rPr>
                <w:szCs w:val="21"/>
                <w:highlight w:val="none"/>
              </w:rPr>
            </w:pPr>
          </w:p>
          <w:p>
            <w:pPr>
              <w:widowControl w:val="0"/>
              <w:shd w:val="clear" w:color="auto" w:fill="auto"/>
              <w:tabs>
                <w:tab w:val="clear" w:pos="426"/>
              </w:tabs>
              <w:adjustRightInd/>
              <w:snapToGrid/>
              <w:spacing w:line="240" w:lineRule="auto"/>
              <w:ind w:firstLine="420" w:firstLineChars="200"/>
              <w:jc w:val="center"/>
              <w:rPr>
                <w:szCs w:val="21"/>
                <w:highlight w:val="none"/>
              </w:rPr>
            </w:pPr>
            <w:r>
              <w:rPr>
                <w:rFonts w:hint="eastAsia"/>
                <w:szCs w:val="21"/>
                <w:highlight w:val="none"/>
              </w:rPr>
              <w:t>第二次报价及承诺一览表</w:t>
            </w:r>
          </w:p>
          <w:p>
            <w:pPr>
              <w:widowControl w:val="0"/>
              <w:shd w:val="clear" w:color="auto" w:fill="auto"/>
              <w:tabs>
                <w:tab w:val="clear" w:pos="426"/>
              </w:tabs>
              <w:adjustRightInd/>
              <w:snapToGrid/>
              <w:spacing w:line="240" w:lineRule="auto"/>
              <w:ind w:firstLine="420" w:firstLineChars="200"/>
              <w:rPr>
                <w:szCs w:val="21"/>
                <w:highlight w:val="none"/>
              </w:rPr>
            </w:pPr>
            <w:r>
              <w:rPr>
                <w:rFonts w:hint="eastAsia"/>
                <w:szCs w:val="21"/>
                <w:highlight w:val="none"/>
              </w:rPr>
              <w:t xml:space="preserve">谈判应答单位： </w:t>
            </w:r>
          </w:p>
          <w:tbl>
            <w:tblPr>
              <w:tblStyle w:val="44"/>
              <w:tblW w:w="8312" w:type="dxa"/>
              <w:tblInd w:w="0" w:type="dxa"/>
              <w:tblLayout w:type="autofit"/>
              <w:tblCellMar>
                <w:top w:w="0" w:type="dxa"/>
                <w:left w:w="108" w:type="dxa"/>
                <w:bottom w:w="0" w:type="dxa"/>
                <w:right w:w="108" w:type="dxa"/>
              </w:tblCellMar>
            </w:tblPr>
            <w:tblGrid>
              <w:gridCol w:w="2919"/>
              <w:gridCol w:w="1508"/>
              <w:gridCol w:w="1528"/>
              <w:gridCol w:w="2357"/>
            </w:tblGrid>
            <w:tr>
              <w:tblPrEx>
                <w:tblCellMar>
                  <w:top w:w="0" w:type="dxa"/>
                  <w:left w:w="108" w:type="dxa"/>
                  <w:bottom w:w="0" w:type="dxa"/>
                  <w:right w:w="108" w:type="dxa"/>
                </w:tblCellMar>
              </w:tblPrEx>
              <w:trPr>
                <w:trHeight w:val="850" w:hRule="atLeast"/>
              </w:trPr>
              <w:tc>
                <w:tcPr>
                  <w:tcW w:w="1755"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r>
                    <w:rPr>
                      <w:rFonts w:hint="eastAsia"/>
                      <w:szCs w:val="21"/>
                      <w:highlight w:val="none"/>
                    </w:rPr>
                    <w:t>项目名称</w:t>
                  </w:r>
                </w:p>
              </w:tc>
              <w:tc>
                <w:tcPr>
                  <w:tcW w:w="907"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r>
                    <w:rPr>
                      <w:rFonts w:hint="eastAsia"/>
                      <w:szCs w:val="21"/>
                      <w:highlight w:val="none"/>
                    </w:rPr>
                    <w:t>第二次总报价</w:t>
                  </w:r>
                </w:p>
                <w:p>
                  <w:pPr>
                    <w:widowControl w:val="0"/>
                    <w:shd w:val="clear" w:color="auto" w:fill="auto"/>
                    <w:tabs>
                      <w:tab w:val="clear" w:pos="426"/>
                    </w:tabs>
                    <w:adjustRightInd/>
                    <w:snapToGrid/>
                    <w:spacing w:line="240" w:lineRule="auto"/>
                    <w:jc w:val="center"/>
                    <w:rPr>
                      <w:szCs w:val="21"/>
                      <w:highlight w:val="none"/>
                    </w:rPr>
                  </w:pPr>
                  <w:r>
                    <w:rPr>
                      <w:rFonts w:hint="eastAsia"/>
                      <w:szCs w:val="21"/>
                      <w:highlight w:val="none"/>
                    </w:rPr>
                    <w:t>（万元）</w:t>
                  </w:r>
                </w:p>
              </w:tc>
              <w:tc>
                <w:tcPr>
                  <w:tcW w:w="919"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r>
                    <w:rPr>
                      <w:rFonts w:hint="eastAsia"/>
                      <w:szCs w:val="21"/>
                      <w:highlight w:val="none"/>
                    </w:rPr>
                    <w:t>服务期</w:t>
                  </w:r>
                </w:p>
              </w:tc>
              <w:tc>
                <w:tcPr>
                  <w:tcW w:w="1417"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r>
                    <w:rPr>
                      <w:rFonts w:hint="eastAsia"/>
                      <w:szCs w:val="21"/>
                      <w:highlight w:val="none"/>
                    </w:rPr>
                    <w:t>备注</w:t>
                  </w:r>
                </w:p>
              </w:tc>
            </w:tr>
            <w:tr>
              <w:tblPrEx>
                <w:tblCellMar>
                  <w:top w:w="0" w:type="dxa"/>
                  <w:left w:w="108" w:type="dxa"/>
                  <w:bottom w:w="0" w:type="dxa"/>
                  <w:right w:w="108" w:type="dxa"/>
                </w:tblCellMar>
              </w:tblPrEx>
              <w:trPr>
                <w:trHeight w:val="850" w:hRule="atLeast"/>
              </w:trPr>
              <w:tc>
                <w:tcPr>
                  <w:tcW w:w="1755"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r>
                    <w:rPr>
                      <w:rFonts w:hint="eastAsia"/>
                      <w:szCs w:val="21"/>
                      <w:highlight w:val="none"/>
                    </w:rPr>
                    <w:t>车辆租赁服务项目</w:t>
                  </w:r>
                </w:p>
              </w:tc>
              <w:tc>
                <w:tcPr>
                  <w:tcW w:w="907"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p>
              </w:tc>
              <w:tc>
                <w:tcPr>
                  <w:tcW w:w="919"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p>
              </w:tc>
              <w:tc>
                <w:tcPr>
                  <w:tcW w:w="1417"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p>
              </w:tc>
            </w:tr>
          </w:tbl>
          <w:p>
            <w:pPr>
              <w:widowControl w:val="0"/>
              <w:shd w:val="clear" w:color="auto" w:fill="auto"/>
              <w:tabs>
                <w:tab w:val="clear" w:pos="426"/>
              </w:tabs>
              <w:adjustRightInd/>
              <w:snapToGrid/>
              <w:spacing w:line="240" w:lineRule="auto"/>
              <w:ind w:firstLine="420" w:firstLineChars="200"/>
              <w:rPr>
                <w:szCs w:val="21"/>
                <w:highlight w:val="none"/>
              </w:rPr>
            </w:pPr>
          </w:p>
          <w:p>
            <w:pPr>
              <w:widowControl w:val="0"/>
              <w:shd w:val="clear" w:color="auto" w:fill="auto"/>
              <w:tabs>
                <w:tab w:val="clear" w:pos="426"/>
              </w:tabs>
              <w:adjustRightInd/>
              <w:snapToGrid/>
              <w:spacing w:line="240" w:lineRule="auto"/>
              <w:ind w:firstLine="420" w:firstLineChars="200"/>
              <w:rPr>
                <w:szCs w:val="21"/>
                <w:highlight w:val="none"/>
              </w:rPr>
            </w:pPr>
            <w:r>
              <w:rPr>
                <w:rFonts w:hint="eastAsia"/>
                <w:szCs w:val="21"/>
                <w:highlight w:val="none"/>
              </w:rPr>
              <w:t>有关承诺：</w:t>
            </w:r>
          </w:p>
          <w:p>
            <w:pPr>
              <w:widowControl w:val="0"/>
              <w:shd w:val="clear" w:color="auto" w:fill="auto"/>
              <w:tabs>
                <w:tab w:val="clear" w:pos="426"/>
              </w:tabs>
              <w:adjustRightInd/>
              <w:snapToGrid/>
              <w:spacing w:line="240" w:lineRule="auto"/>
              <w:ind w:left="3824" w:leftChars="1821"/>
              <w:jc w:val="left"/>
              <w:rPr>
                <w:szCs w:val="21"/>
                <w:highlight w:val="none"/>
              </w:rPr>
            </w:pPr>
          </w:p>
          <w:p>
            <w:pPr>
              <w:widowControl w:val="0"/>
              <w:shd w:val="clear" w:color="auto" w:fill="auto"/>
              <w:tabs>
                <w:tab w:val="clear" w:pos="426"/>
              </w:tabs>
              <w:adjustRightInd/>
              <w:snapToGrid/>
              <w:spacing w:line="240" w:lineRule="auto"/>
              <w:ind w:left="3824" w:leftChars="1821"/>
              <w:jc w:val="left"/>
              <w:rPr>
                <w:szCs w:val="21"/>
                <w:highlight w:val="none"/>
              </w:rPr>
            </w:pPr>
            <w:r>
              <w:rPr>
                <w:rFonts w:hint="eastAsia"/>
                <w:szCs w:val="21"/>
                <w:highlight w:val="none"/>
              </w:rPr>
              <w:t>供应商授权代表签字：</w:t>
            </w:r>
          </w:p>
          <w:p>
            <w:pPr>
              <w:widowControl w:val="0"/>
              <w:shd w:val="clear" w:color="auto" w:fill="auto"/>
              <w:tabs>
                <w:tab w:val="clear" w:pos="426"/>
              </w:tabs>
              <w:adjustRightInd/>
              <w:snapToGrid/>
              <w:spacing w:line="240" w:lineRule="auto"/>
              <w:ind w:left="3824" w:leftChars="1821"/>
              <w:jc w:val="left"/>
              <w:rPr>
                <w:szCs w:val="21"/>
                <w:highlight w:val="none"/>
              </w:rPr>
            </w:pPr>
          </w:p>
          <w:p>
            <w:pPr>
              <w:widowControl w:val="0"/>
              <w:shd w:val="clear" w:color="auto" w:fill="auto"/>
              <w:tabs>
                <w:tab w:val="clear" w:pos="426"/>
              </w:tabs>
              <w:adjustRightInd/>
              <w:snapToGrid/>
              <w:spacing w:line="240" w:lineRule="auto"/>
              <w:ind w:left="3824" w:leftChars="1821"/>
              <w:jc w:val="left"/>
              <w:rPr>
                <w:szCs w:val="21"/>
                <w:highlight w:val="none"/>
              </w:rPr>
            </w:pPr>
            <w:r>
              <w:rPr>
                <w:rFonts w:hint="eastAsia"/>
                <w:szCs w:val="21"/>
                <w:highlight w:val="none"/>
              </w:rPr>
              <w:t>日            期：</w:t>
            </w:r>
          </w:p>
          <w:p>
            <w:pPr>
              <w:widowControl w:val="0"/>
              <w:shd w:val="clear" w:color="auto" w:fill="auto"/>
              <w:tabs>
                <w:tab w:val="clear" w:pos="426"/>
              </w:tabs>
              <w:adjustRightInd/>
              <w:snapToGrid/>
              <w:spacing w:line="240" w:lineRule="auto"/>
              <w:ind w:left="3824" w:leftChars="1821"/>
              <w:jc w:val="left"/>
              <w:rPr>
                <w:szCs w:val="21"/>
                <w:highlight w:val="none"/>
              </w:rPr>
            </w:pPr>
          </w:p>
          <w:p>
            <w:pPr>
              <w:widowControl w:val="0"/>
              <w:shd w:val="clear" w:color="auto" w:fill="auto"/>
              <w:tabs>
                <w:tab w:val="clear" w:pos="426"/>
              </w:tabs>
              <w:adjustRightInd/>
              <w:snapToGrid/>
              <w:spacing w:line="240" w:lineRule="auto"/>
              <w:ind w:left="424" w:leftChars="202"/>
              <w:jc w:val="left"/>
              <w:rPr>
                <w:szCs w:val="21"/>
                <w:highlight w:val="none"/>
              </w:rPr>
            </w:pPr>
            <w:r>
              <w:rPr>
                <w:rFonts w:hint="eastAsia"/>
                <w:szCs w:val="21"/>
                <w:highlight w:val="none"/>
              </w:rPr>
              <w:t>备注：第二次报价应低不高于谈判应答初始报价，各项目单价按所报总价等比例下浮。</w:t>
            </w:r>
          </w:p>
        </w:tc>
      </w:tr>
    </w:tbl>
    <w:p>
      <w:pPr>
        <w:tabs>
          <w:tab w:val="clear" w:pos="426"/>
        </w:tabs>
        <w:ind w:firstLine="420" w:firstLineChars="200"/>
        <w:rPr>
          <w:szCs w:val="21"/>
          <w:highlight w:val="none"/>
        </w:rPr>
      </w:pPr>
    </w:p>
    <w:p>
      <w:pPr>
        <w:tabs>
          <w:tab w:val="clear" w:pos="426"/>
        </w:tabs>
        <w:ind w:firstLine="420" w:firstLineChars="200"/>
        <w:rPr>
          <w:szCs w:val="21"/>
          <w:highlight w:val="none"/>
        </w:rPr>
      </w:pPr>
      <w:r>
        <w:rPr>
          <w:rFonts w:hint="eastAsia"/>
          <w:szCs w:val="21"/>
          <w:highlight w:val="none"/>
        </w:rPr>
        <w:t>第二轮谈判后，供应商应在谈判小组规定的时间内提出更改后的最终报价及书面承诺（格式如下）：</w:t>
      </w:r>
    </w:p>
    <w:tbl>
      <w:tblPr>
        <w:tblStyle w:val="4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5000" w:type="pct"/>
          </w:tcPr>
          <w:p>
            <w:pPr>
              <w:widowControl w:val="0"/>
              <w:shd w:val="clear" w:color="auto" w:fill="auto"/>
              <w:tabs>
                <w:tab w:val="clear" w:pos="426"/>
              </w:tabs>
              <w:adjustRightInd/>
              <w:snapToGrid/>
              <w:spacing w:line="240" w:lineRule="auto"/>
              <w:ind w:firstLine="420" w:firstLineChars="200"/>
              <w:jc w:val="center"/>
              <w:rPr>
                <w:szCs w:val="21"/>
                <w:highlight w:val="none"/>
              </w:rPr>
            </w:pPr>
          </w:p>
          <w:p>
            <w:pPr>
              <w:widowControl w:val="0"/>
              <w:shd w:val="clear" w:color="auto" w:fill="auto"/>
              <w:tabs>
                <w:tab w:val="clear" w:pos="426"/>
              </w:tabs>
              <w:adjustRightInd/>
              <w:snapToGrid/>
              <w:spacing w:line="240" w:lineRule="auto"/>
              <w:ind w:firstLine="420" w:firstLineChars="200"/>
              <w:jc w:val="center"/>
              <w:rPr>
                <w:szCs w:val="21"/>
                <w:highlight w:val="none"/>
              </w:rPr>
            </w:pPr>
            <w:r>
              <w:rPr>
                <w:rFonts w:hint="eastAsia"/>
                <w:szCs w:val="21"/>
                <w:highlight w:val="none"/>
              </w:rPr>
              <w:t>最终报价及承诺一览表</w:t>
            </w:r>
          </w:p>
          <w:p>
            <w:pPr>
              <w:widowControl w:val="0"/>
              <w:shd w:val="clear" w:color="auto" w:fill="auto"/>
              <w:tabs>
                <w:tab w:val="clear" w:pos="426"/>
              </w:tabs>
              <w:adjustRightInd/>
              <w:snapToGrid/>
              <w:spacing w:line="240" w:lineRule="auto"/>
              <w:ind w:firstLine="420" w:firstLineChars="200"/>
              <w:rPr>
                <w:szCs w:val="21"/>
                <w:highlight w:val="none"/>
              </w:rPr>
            </w:pPr>
            <w:r>
              <w:rPr>
                <w:rFonts w:hint="eastAsia"/>
                <w:szCs w:val="21"/>
                <w:highlight w:val="none"/>
              </w:rPr>
              <w:t xml:space="preserve">谈判应答单位： </w:t>
            </w:r>
          </w:p>
          <w:tbl>
            <w:tblPr>
              <w:tblStyle w:val="44"/>
              <w:tblW w:w="8312" w:type="dxa"/>
              <w:tblInd w:w="0" w:type="dxa"/>
              <w:tblLayout w:type="autofit"/>
              <w:tblCellMar>
                <w:top w:w="0" w:type="dxa"/>
                <w:left w:w="108" w:type="dxa"/>
                <w:bottom w:w="0" w:type="dxa"/>
                <w:right w:w="108" w:type="dxa"/>
              </w:tblCellMar>
            </w:tblPr>
            <w:tblGrid>
              <w:gridCol w:w="2919"/>
              <w:gridCol w:w="1507"/>
              <w:gridCol w:w="1529"/>
              <w:gridCol w:w="2357"/>
            </w:tblGrid>
            <w:tr>
              <w:tblPrEx>
                <w:tblCellMar>
                  <w:top w:w="0" w:type="dxa"/>
                  <w:left w:w="108" w:type="dxa"/>
                  <w:bottom w:w="0" w:type="dxa"/>
                  <w:right w:w="108" w:type="dxa"/>
                </w:tblCellMar>
              </w:tblPrEx>
              <w:trPr>
                <w:trHeight w:val="850" w:hRule="atLeast"/>
              </w:trPr>
              <w:tc>
                <w:tcPr>
                  <w:tcW w:w="1755"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r>
                    <w:rPr>
                      <w:rFonts w:hint="eastAsia"/>
                      <w:szCs w:val="21"/>
                      <w:highlight w:val="none"/>
                    </w:rPr>
                    <w:t>项目名称</w:t>
                  </w:r>
                </w:p>
              </w:tc>
              <w:tc>
                <w:tcPr>
                  <w:tcW w:w="906"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r>
                    <w:rPr>
                      <w:rFonts w:hint="eastAsia"/>
                      <w:szCs w:val="21"/>
                      <w:highlight w:val="none"/>
                    </w:rPr>
                    <w:t>最终总报价</w:t>
                  </w:r>
                </w:p>
                <w:p>
                  <w:pPr>
                    <w:widowControl w:val="0"/>
                    <w:shd w:val="clear" w:color="auto" w:fill="auto"/>
                    <w:tabs>
                      <w:tab w:val="clear" w:pos="426"/>
                    </w:tabs>
                    <w:adjustRightInd/>
                    <w:snapToGrid/>
                    <w:spacing w:line="240" w:lineRule="auto"/>
                    <w:jc w:val="center"/>
                    <w:rPr>
                      <w:szCs w:val="21"/>
                      <w:highlight w:val="none"/>
                    </w:rPr>
                  </w:pPr>
                  <w:r>
                    <w:rPr>
                      <w:rFonts w:hint="eastAsia"/>
                      <w:szCs w:val="21"/>
                      <w:highlight w:val="none"/>
                    </w:rPr>
                    <w:t>（万元）</w:t>
                  </w:r>
                </w:p>
              </w:tc>
              <w:tc>
                <w:tcPr>
                  <w:tcW w:w="919"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r>
                    <w:rPr>
                      <w:rFonts w:hint="eastAsia"/>
                      <w:szCs w:val="21"/>
                      <w:highlight w:val="none"/>
                    </w:rPr>
                    <w:t>服务期</w:t>
                  </w:r>
                </w:p>
              </w:tc>
              <w:tc>
                <w:tcPr>
                  <w:tcW w:w="1417"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r>
                    <w:rPr>
                      <w:rFonts w:hint="eastAsia"/>
                      <w:szCs w:val="21"/>
                      <w:highlight w:val="none"/>
                    </w:rPr>
                    <w:t>备注</w:t>
                  </w:r>
                </w:p>
              </w:tc>
            </w:tr>
            <w:tr>
              <w:tblPrEx>
                <w:tblCellMar>
                  <w:top w:w="0" w:type="dxa"/>
                  <w:left w:w="108" w:type="dxa"/>
                  <w:bottom w:w="0" w:type="dxa"/>
                  <w:right w:w="108" w:type="dxa"/>
                </w:tblCellMar>
              </w:tblPrEx>
              <w:trPr>
                <w:trHeight w:val="850" w:hRule="atLeast"/>
              </w:trPr>
              <w:tc>
                <w:tcPr>
                  <w:tcW w:w="1755"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r>
                    <w:rPr>
                      <w:rFonts w:hint="eastAsia"/>
                      <w:szCs w:val="21"/>
                      <w:highlight w:val="none"/>
                    </w:rPr>
                    <w:t>车辆租赁服务项目</w:t>
                  </w:r>
                </w:p>
              </w:tc>
              <w:tc>
                <w:tcPr>
                  <w:tcW w:w="906"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p>
              </w:tc>
              <w:tc>
                <w:tcPr>
                  <w:tcW w:w="919"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p>
              </w:tc>
              <w:tc>
                <w:tcPr>
                  <w:tcW w:w="1417" w:type="pct"/>
                  <w:tcBorders>
                    <w:top w:val="single" w:color="auto" w:sz="6" w:space="0"/>
                    <w:left w:val="single" w:color="auto" w:sz="6" w:space="0"/>
                    <w:bottom w:val="single" w:color="auto" w:sz="6" w:space="0"/>
                    <w:right w:val="single" w:color="auto" w:sz="6" w:space="0"/>
                  </w:tcBorders>
                  <w:vAlign w:val="center"/>
                </w:tcPr>
                <w:p>
                  <w:pPr>
                    <w:widowControl w:val="0"/>
                    <w:shd w:val="clear" w:color="auto" w:fill="auto"/>
                    <w:tabs>
                      <w:tab w:val="clear" w:pos="426"/>
                    </w:tabs>
                    <w:adjustRightInd/>
                    <w:snapToGrid/>
                    <w:spacing w:line="240" w:lineRule="auto"/>
                    <w:jc w:val="center"/>
                    <w:rPr>
                      <w:szCs w:val="21"/>
                      <w:highlight w:val="none"/>
                    </w:rPr>
                  </w:pPr>
                </w:p>
              </w:tc>
            </w:tr>
          </w:tbl>
          <w:p>
            <w:pPr>
              <w:widowControl w:val="0"/>
              <w:shd w:val="clear" w:color="auto" w:fill="auto"/>
              <w:tabs>
                <w:tab w:val="clear" w:pos="426"/>
              </w:tabs>
              <w:adjustRightInd/>
              <w:snapToGrid/>
              <w:spacing w:line="240" w:lineRule="auto"/>
              <w:ind w:firstLine="420" w:firstLineChars="200"/>
              <w:rPr>
                <w:szCs w:val="21"/>
                <w:highlight w:val="none"/>
              </w:rPr>
            </w:pPr>
          </w:p>
          <w:p>
            <w:pPr>
              <w:widowControl w:val="0"/>
              <w:shd w:val="clear" w:color="auto" w:fill="auto"/>
              <w:tabs>
                <w:tab w:val="clear" w:pos="426"/>
              </w:tabs>
              <w:adjustRightInd/>
              <w:snapToGrid/>
              <w:spacing w:line="240" w:lineRule="auto"/>
              <w:ind w:firstLine="420" w:firstLineChars="200"/>
              <w:rPr>
                <w:szCs w:val="21"/>
                <w:highlight w:val="none"/>
              </w:rPr>
            </w:pPr>
            <w:r>
              <w:rPr>
                <w:rFonts w:hint="eastAsia"/>
                <w:szCs w:val="21"/>
                <w:highlight w:val="none"/>
              </w:rPr>
              <w:t>有关承诺：</w:t>
            </w:r>
          </w:p>
          <w:p>
            <w:pPr>
              <w:widowControl w:val="0"/>
              <w:shd w:val="clear" w:color="auto" w:fill="auto"/>
              <w:tabs>
                <w:tab w:val="clear" w:pos="426"/>
              </w:tabs>
              <w:adjustRightInd/>
              <w:snapToGrid/>
              <w:spacing w:line="240" w:lineRule="auto"/>
              <w:ind w:left="3824" w:leftChars="1821"/>
              <w:jc w:val="left"/>
              <w:rPr>
                <w:szCs w:val="21"/>
                <w:highlight w:val="none"/>
              </w:rPr>
            </w:pPr>
          </w:p>
          <w:p>
            <w:pPr>
              <w:widowControl w:val="0"/>
              <w:shd w:val="clear" w:color="auto" w:fill="auto"/>
              <w:tabs>
                <w:tab w:val="clear" w:pos="426"/>
              </w:tabs>
              <w:adjustRightInd/>
              <w:snapToGrid/>
              <w:spacing w:line="240" w:lineRule="auto"/>
              <w:ind w:left="3824" w:leftChars="1821"/>
              <w:jc w:val="left"/>
              <w:rPr>
                <w:szCs w:val="21"/>
                <w:highlight w:val="none"/>
              </w:rPr>
            </w:pPr>
            <w:r>
              <w:rPr>
                <w:rFonts w:hint="eastAsia"/>
                <w:szCs w:val="21"/>
                <w:highlight w:val="none"/>
              </w:rPr>
              <w:t>供应商授权代表签字：</w:t>
            </w:r>
          </w:p>
          <w:p>
            <w:pPr>
              <w:widowControl w:val="0"/>
              <w:shd w:val="clear" w:color="auto" w:fill="auto"/>
              <w:tabs>
                <w:tab w:val="clear" w:pos="426"/>
              </w:tabs>
              <w:adjustRightInd/>
              <w:snapToGrid/>
              <w:spacing w:line="240" w:lineRule="auto"/>
              <w:ind w:left="3824" w:leftChars="1821"/>
              <w:jc w:val="left"/>
              <w:rPr>
                <w:szCs w:val="21"/>
                <w:highlight w:val="none"/>
              </w:rPr>
            </w:pPr>
          </w:p>
          <w:p>
            <w:pPr>
              <w:widowControl w:val="0"/>
              <w:shd w:val="clear" w:color="auto" w:fill="auto"/>
              <w:tabs>
                <w:tab w:val="clear" w:pos="426"/>
              </w:tabs>
              <w:adjustRightInd/>
              <w:snapToGrid/>
              <w:spacing w:line="240" w:lineRule="auto"/>
              <w:ind w:left="3824" w:leftChars="1821"/>
              <w:jc w:val="left"/>
              <w:rPr>
                <w:szCs w:val="21"/>
                <w:highlight w:val="none"/>
              </w:rPr>
            </w:pPr>
            <w:r>
              <w:rPr>
                <w:rFonts w:hint="eastAsia"/>
                <w:szCs w:val="21"/>
                <w:highlight w:val="none"/>
              </w:rPr>
              <w:t>日            期：</w:t>
            </w:r>
          </w:p>
          <w:p>
            <w:pPr>
              <w:widowControl w:val="0"/>
              <w:shd w:val="clear" w:color="auto" w:fill="auto"/>
              <w:tabs>
                <w:tab w:val="clear" w:pos="426"/>
              </w:tabs>
              <w:adjustRightInd/>
              <w:snapToGrid/>
              <w:spacing w:line="240" w:lineRule="auto"/>
              <w:ind w:left="3824" w:leftChars="1821"/>
              <w:jc w:val="left"/>
              <w:rPr>
                <w:szCs w:val="21"/>
                <w:highlight w:val="none"/>
              </w:rPr>
            </w:pPr>
          </w:p>
          <w:p>
            <w:pPr>
              <w:widowControl w:val="0"/>
              <w:shd w:val="clear" w:color="auto" w:fill="auto"/>
              <w:tabs>
                <w:tab w:val="clear" w:pos="426"/>
              </w:tabs>
              <w:adjustRightInd/>
              <w:snapToGrid/>
              <w:spacing w:line="240" w:lineRule="auto"/>
              <w:ind w:left="424" w:leftChars="202"/>
              <w:jc w:val="left"/>
              <w:rPr>
                <w:szCs w:val="21"/>
                <w:highlight w:val="none"/>
              </w:rPr>
            </w:pPr>
            <w:r>
              <w:rPr>
                <w:rFonts w:hint="eastAsia"/>
                <w:szCs w:val="21"/>
                <w:highlight w:val="none"/>
              </w:rPr>
              <w:t>备注：最终报价应低不高于第二次报价，各项目单价按所报总价等比例下浮。</w:t>
            </w:r>
          </w:p>
        </w:tc>
      </w:tr>
    </w:tbl>
    <w:p>
      <w:pPr>
        <w:tabs>
          <w:tab w:val="clear" w:pos="426"/>
        </w:tabs>
        <w:ind w:firstLine="420" w:firstLineChars="200"/>
        <w:rPr>
          <w:szCs w:val="21"/>
          <w:highlight w:val="none"/>
        </w:rPr>
      </w:pPr>
    </w:p>
    <w:p>
      <w:pPr>
        <w:tabs>
          <w:tab w:val="clear" w:pos="426"/>
        </w:tabs>
        <w:ind w:firstLine="420" w:firstLineChars="200"/>
        <w:rPr>
          <w:szCs w:val="21"/>
          <w:highlight w:val="none"/>
        </w:rPr>
      </w:pPr>
      <w:r>
        <w:rPr>
          <w:rFonts w:hint="eastAsia"/>
          <w:szCs w:val="21"/>
          <w:highlight w:val="none"/>
        </w:rPr>
        <w:t>各家供应商均进行最终谈判应答报价及有关承诺确认后，须经由供应商的法定代表人或授权委托人签字确认，且须谈判小组认可。</w:t>
      </w:r>
    </w:p>
    <w:p>
      <w:pPr>
        <w:tabs>
          <w:tab w:val="clear" w:pos="426"/>
        </w:tabs>
        <w:ind w:firstLine="420" w:firstLineChars="200"/>
        <w:rPr>
          <w:szCs w:val="21"/>
          <w:highlight w:val="none"/>
        </w:rPr>
      </w:pPr>
      <w:r>
        <w:rPr>
          <w:rFonts w:hint="eastAsia"/>
          <w:szCs w:val="21"/>
          <w:highlight w:val="none"/>
        </w:rPr>
        <w:t>8</w:t>
      </w:r>
      <w:r>
        <w:rPr>
          <w:szCs w:val="21"/>
          <w:highlight w:val="none"/>
        </w:rPr>
        <w:t>.</w:t>
      </w:r>
      <w:r>
        <w:rPr>
          <w:rFonts w:hint="eastAsia"/>
          <w:szCs w:val="21"/>
          <w:highlight w:val="none"/>
        </w:rPr>
        <w:t>谈判小组将根据本办法中的谈判方法确定成交人推荐资格。</w:t>
      </w:r>
    </w:p>
    <w:p>
      <w:pPr>
        <w:tabs>
          <w:tab w:val="clear" w:pos="426"/>
        </w:tabs>
        <w:ind w:firstLine="420" w:firstLineChars="200"/>
        <w:rPr>
          <w:szCs w:val="21"/>
          <w:highlight w:val="none"/>
        </w:rPr>
      </w:pPr>
      <w:r>
        <w:rPr>
          <w:rFonts w:hint="eastAsia"/>
          <w:szCs w:val="21"/>
          <w:highlight w:val="none"/>
        </w:rPr>
        <w:t>9</w:t>
      </w:r>
      <w:r>
        <w:rPr>
          <w:szCs w:val="21"/>
          <w:highlight w:val="none"/>
        </w:rPr>
        <w:t>.</w:t>
      </w:r>
      <w:r>
        <w:rPr>
          <w:rFonts w:hint="eastAsia"/>
          <w:szCs w:val="21"/>
          <w:highlight w:val="none"/>
        </w:rPr>
        <w:t>谈判结束后，谈判小组根据供应商提供的谈判应答文件、谈判过程中产生的相关资料，对供应商谈判应答文件进行评估与比较，形成书面评审报告。</w:t>
      </w:r>
    </w:p>
    <w:p>
      <w:pPr>
        <w:tabs>
          <w:tab w:val="clear" w:pos="426"/>
        </w:tabs>
        <w:ind w:firstLine="420" w:firstLineChars="200"/>
        <w:rPr>
          <w:szCs w:val="21"/>
          <w:highlight w:val="none"/>
        </w:rPr>
      </w:pPr>
      <w:r>
        <w:rPr>
          <w:szCs w:val="21"/>
          <w:highlight w:val="none"/>
        </w:rPr>
        <w:t>评审报告应当如实记载以下内容：</w:t>
      </w:r>
    </w:p>
    <w:p>
      <w:pPr>
        <w:tabs>
          <w:tab w:val="clear" w:pos="426"/>
        </w:tabs>
        <w:ind w:firstLine="420" w:firstLineChars="200"/>
        <w:rPr>
          <w:szCs w:val="21"/>
          <w:highlight w:val="none"/>
        </w:rPr>
      </w:pPr>
      <w:r>
        <w:rPr>
          <w:rFonts w:hint="eastAsia"/>
          <w:szCs w:val="21"/>
          <w:highlight w:val="none"/>
        </w:rPr>
        <w:t>（1）</w:t>
      </w:r>
      <w:r>
        <w:rPr>
          <w:szCs w:val="21"/>
          <w:highlight w:val="none"/>
        </w:rPr>
        <w:t>采购项目基本情况；</w:t>
      </w:r>
    </w:p>
    <w:p>
      <w:pPr>
        <w:tabs>
          <w:tab w:val="clear" w:pos="426"/>
        </w:tabs>
        <w:ind w:firstLine="420" w:firstLineChars="200"/>
        <w:rPr>
          <w:szCs w:val="21"/>
          <w:highlight w:val="none"/>
        </w:rPr>
      </w:pPr>
      <w:r>
        <w:rPr>
          <w:rFonts w:hint="eastAsia"/>
          <w:szCs w:val="21"/>
          <w:highlight w:val="none"/>
        </w:rPr>
        <w:t>（2）</w:t>
      </w:r>
      <w:r>
        <w:rPr>
          <w:szCs w:val="21"/>
          <w:highlight w:val="none"/>
        </w:rPr>
        <w:t>谈判小组成员名单；</w:t>
      </w:r>
    </w:p>
    <w:p>
      <w:pPr>
        <w:tabs>
          <w:tab w:val="clear" w:pos="426"/>
        </w:tabs>
        <w:ind w:firstLine="420" w:firstLineChars="200"/>
        <w:rPr>
          <w:szCs w:val="21"/>
          <w:highlight w:val="none"/>
        </w:rPr>
      </w:pPr>
      <w:r>
        <w:rPr>
          <w:rFonts w:hint="eastAsia"/>
          <w:szCs w:val="21"/>
          <w:highlight w:val="none"/>
        </w:rPr>
        <w:t>（3）</w:t>
      </w:r>
      <w:r>
        <w:rPr>
          <w:szCs w:val="21"/>
          <w:highlight w:val="none"/>
        </w:rPr>
        <w:t>实质性响应表情况及无效谈判应答文件说明；</w:t>
      </w:r>
    </w:p>
    <w:p>
      <w:pPr>
        <w:tabs>
          <w:tab w:val="clear" w:pos="426"/>
        </w:tabs>
        <w:ind w:firstLine="420" w:firstLineChars="200"/>
        <w:rPr>
          <w:szCs w:val="21"/>
          <w:highlight w:val="none"/>
        </w:rPr>
      </w:pPr>
      <w:r>
        <w:rPr>
          <w:rFonts w:hint="eastAsia"/>
          <w:szCs w:val="21"/>
          <w:highlight w:val="none"/>
        </w:rPr>
        <w:t>（4）</w:t>
      </w:r>
      <w:r>
        <w:rPr>
          <w:szCs w:val="21"/>
          <w:highlight w:val="none"/>
        </w:rPr>
        <w:t>经评审的供应商排序；</w:t>
      </w:r>
    </w:p>
    <w:p>
      <w:pPr>
        <w:tabs>
          <w:tab w:val="clear" w:pos="426"/>
        </w:tabs>
        <w:ind w:firstLine="420" w:firstLineChars="200"/>
        <w:rPr>
          <w:szCs w:val="21"/>
          <w:highlight w:val="none"/>
        </w:rPr>
      </w:pPr>
      <w:r>
        <w:rPr>
          <w:rFonts w:hint="eastAsia"/>
          <w:szCs w:val="21"/>
          <w:highlight w:val="none"/>
        </w:rPr>
        <w:t>（5）</w:t>
      </w:r>
      <w:r>
        <w:rPr>
          <w:szCs w:val="21"/>
          <w:highlight w:val="none"/>
        </w:rPr>
        <w:t>推荐排序的成交候选人名单与签订合同前要处理的事宜；</w:t>
      </w:r>
    </w:p>
    <w:p>
      <w:pPr>
        <w:tabs>
          <w:tab w:val="clear" w:pos="426"/>
        </w:tabs>
        <w:ind w:firstLine="420" w:firstLineChars="200"/>
        <w:rPr>
          <w:szCs w:val="21"/>
          <w:highlight w:val="none"/>
        </w:rPr>
      </w:pPr>
      <w:r>
        <w:rPr>
          <w:rFonts w:hint="eastAsia"/>
          <w:szCs w:val="21"/>
          <w:highlight w:val="none"/>
        </w:rPr>
        <w:t>（6）</w:t>
      </w:r>
      <w:r>
        <w:rPr>
          <w:szCs w:val="21"/>
          <w:highlight w:val="none"/>
        </w:rPr>
        <w:t>澄清、说明、补正事项纪要。</w:t>
      </w:r>
    </w:p>
    <w:p>
      <w:pPr>
        <w:tabs>
          <w:tab w:val="clear" w:pos="426"/>
        </w:tabs>
        <w:ind w:firstLine="420" w:firstLineChars="200"/>
        <w:rPr>
          <w:szCs w:val="21"/>
          <w:highlight w:val="none"/>
        </w:rPr>
      </w:pPr>
      <w:r>
        <w:rPr>
          <w:szCs w:val="21"/>
          <w:highlight w:val="none"/>
        </w:rPr>
        <w:t>评审报告由谈判小组全体成员签字。对评审结论持有异议的</w:t>
      </w:r>
      <w:r>
        <w:rPr>
          <w:rFonts w:hint="eastAsia"/>
          <w:szCs w:val="21"/>
          <w:highlight w:val="none"/>
        </w:rPr>
        <w:t>谈判</w:t>
      </w:r>
      <w:r>
        <w:rPr>
          <w:szCs w:val="21"/>
          <w:highlight w:val="none"/>
        </w:rPr>
        <w:t>小组成员可以书面方式阐述其不同意见和理由。</w:t>
      </w:r>
    </w:p>
    <w:p>
      <w:pPr>
        <w:tabs>
          <w:tab w:val="clear" w:pos="426"/>
        </w:tabs>
        <w:ind w:firstLine="420" w:firstLineChars="200"/>
        <w:rPr>
          <w:szCs w:val="21"/>
          <w:highlight w:val="none"/>
        </w:rPr>
      </w:pPr>
      <w:r>
        <w:rPr>
          <w:szCs w:val="21"/>
          <w:highlight w:val="none"/>
        </w:rPr>
        <w:t>谈判小组成员拒绝在评审报告上签字且不陈述其不同意见和理由的，视为同意评审结论。谈判小组应当对此做出书面说明并记录在案。</w:t>
      </w:r>
    </w:p>
    <w:p>
      <w:pPr>
        <w:tabs>
          <w:tab w:val="clear" w:pos="426"/>
        </w:tabs>
        <w:ind w:firstLine="420" w:firstLineChars="200"/>
        <w:rPr>
          <w:szCs w:val="21"/>
          <w:highlight w:val="none"/>
        </w:rPr>
      </w:pPr>
      <w:r>
        <w:rPr>
          <w:szCs w:val="21"/>
          <w:highlight w:val="none"/>
        </w:rPr>
        <w:t>谈判小组完成书面评审报告后</w:t>
      </w:r>
      <w:r>
        <w:rPr>
          <w:rFonts w:hint="eastAsia"/>
          <w:szCs w:val="21"/>
          <w:highlight w:val="none"/>
        </w:rPr>
        <w:t>，</w:t>
      </w:r>
      <w:r>
        <w:rPr>
          <w:szCs w:val="21"/>
          <w:highlight w:val="none"/>
        </w:rPr>
        <w:t>主持人宣布谈判结束。谈判现场所有资料不得带出现场。由采购按规定分类整理，分别送交和存档。</w:t>
      </w:r>
    </w:p>
    <w:p>
      <w:pPr>
        <w:tabs>
          <w:tab w:val="clear" w:pos="426"/>
        </w:tabs>
        <w:ind w:firstLine="420" w:firstLineChars="200"/>
        <w:rPr>
          <w:szCs w:val="21"/>
          <w:highlight w:val="none"/>
        </w:rPr>
      </w:pPr>
      <w:r>
        <w:rPr>
          <w:rFonts w:hint="eastAsia"/>
          <w:szCs w:val="21"/>
          <w:highlight w:val="none"/>
        </w:rPr>
        <w:t>1</w:t>
      </w:r>
      <w:r>
        <w:rPr>
          <w:szCs w:val="21"/>
          <w:highlight w:val="none"/>
        </w:rPr>
        <w:t>0.谈判小组按照谈判文件规定的原则和程序推荐的候选成交人，需要经采购人考察无误后</w:t>
      </w:r>
      <w:r>
        <w:rPr>
          <w:rFonts w:hint="eastAsia"/>
          <w:szCs w:val="21"/>
          <w:highlight w:val="none"/>
        </w:rPr>
        <w:t>，</w:t>
      </w:r>
      <w:r>
        <w:rPr>
          <w:szCs w:val="21"/>
          <w:highlight w:val="none"/>
        </w:rPr>
        <w:t>依法确定成交供应商</w:t>
      </w:r>
      <w:r>
        <w:rPr>
          <w:rFonts w:hint="eastAsia"/>
          <w:szCs w:val="21"/>
          <w:highlight w:val="none"/>
        </w:rPr>
        <w:t>，</w:t>
      </w:r>
      <w:r>
        <w:rPr>
          <w:szCs w:val="21"/>
          <w:highlight w:val="none"/>
        </w:rPr>
        <w:t>如果在考察过程中发现供应商所提供的资料、人员、业绩等与谈判文件要求及谈判应答文件内容不符的，将取消其可能成交的资格。</w:t>
      </w:r>
    </w:p>
    <w:p>
      <w:pPr>
        <w:tabs>
          <w:tab w:val="clear" w:pos="426"/>
        </w:tabs>
        <w:ind w:firstLine="420" w:firstLineChars="200"/>
        <w:rPr>
          <w:szCs w:val="21"/>
          <w:highlight w:val="none"/>
        </w:rPr>
      </w:pPr>
      <w:r>
        <w:rPr>
          <w:rFonts w:hint="eastAsia"/>
          <w:szCs w:val="21"/>
          <w:highlight w:val="none"/>
        </w:rPr>
        <w:t>1</w:t>
      </w:r>
      <w:r>
        <w:rPr>
          <w:szCs w:val="21"/>
          <w:highlight w:val="none"/>
        </w:rPr>
        <w:t>1.采购在接到采购人的书面结果确认文件后</w:t>
      </w:r>
      <w:r>
        <w:rPr>
          <w:rFonts w:hint="eastAsia"/>
          <w:szCs w:val="21"/>
          <w:highlight w:val="none"/>
        </w:rPr>
        <w:t>，将本项目的采购成交结果</w:t>
      </w:r>
      <w:r>
        <w:rPr>
          <w:szCs w:val="21"/>
          <w:highlight w:val="none"/>
        </w:rPr>
        <w:t>在媒体上对外公示</w:t>
      </w:r>
      <w:r>
        <w:rPr>
          <w:rFonts w:hint="eastAsia"/>
          <w:szCs w:val="21"/>
          <w:highlight w:val="none"/>
        </w:rPr>
        <w:t>，</w:t>
      </w:r>
      <w:r>
        <w:rPr>
          <w:szCs w:val="21"/>
          <w:highlight w:val="none"/>
        </w:rPr>
        <w:t>公示日期不少于</w:t>
      </w:r>
      <w:r>
        <w:rPr>
          <w:rFonts w:hint="eastAsia"/>
          <w:szCs w:val="21"/>
          <w:highlight w:val="none"/>
        </w:rPr>
        <w:t>3</w:t>
      </w:r>
      <w:r>
        <w:rPr>
          <w:szCs w:val="21"/>
          <w:highlight w:val="none"/>
        </w:rPr>
        <w:t>个日历日。</w:t>
      </w:r>
    </w:p>
    <w:p>
      <w:pPr>
        <w:tabs>
          <w:tab w:val="clear" w:pos="426"/>
        </w:tabs>
        <w:ind w:firstLine="420" w:firstLineChars="200"/>
        <w:rPr>
          <w:szCs w:val="21"/>
          <w:highlight w:val="none"/>
        </w:rPr>
      </w:pPr>
      <w:r>
        <w:rPr>
          <w:rFonts w:hint="eastAsia"/>
          <w:szCs w:val="21"/>
          <w:highlight w:val="none"/>
        </w:rPr>
        <w:t>1</w:t>
      </w:r>
      <w:r>
        <w:rPr>
          <w:szCs w:val="21"/>
          <w:highlight w:val="none"/>
        </w:rPr>
        <w:t>2.采购结果公示结束后</w:t>
      </w:r>
      <w:r>
        <w:rPr>
          <w:rFonts w:hint="eastAsia"/>
          <w:szCs w:val="21"/>
          <w:highlight w:val="none"/>
        </w:rPr>
        <w:t>，如无质疑投诉，采购</w:t>
      </w:r>
      <w:r>
        <w:rPr>
          <w:szCs w:val="21"/>
          <w:highlight w:val="none"/>
        </w:rPr>
        <w:t>向成交供应商发出成交通知书</w:t>
      </w:r>
      <w:r>
        <w:rPr>
          <w:rFonts w:hint="eastAsia"/>
          <w:szCs w:val="21"/>
          <w:highlight w:val="none"/>
        </w:rPr>
        <w:t>。</w:t>
      </w:r>
    </w:p>
    <w:p>
      <w:pPr>
        <w:tabs>
          <w:tab w:val="clear" w:pos="426"/>
        </w:tabs>
        <w:ind w:firstLine="420" w:firstLineChars="200"/>
        <w:rPr>
          <w:szCs w:val="21"/>
          <w:highlight w:val="none"/>
        </w:rPr>
      </w:pPr>
    </w:p>
    <w:p>
      <w:pPr>
        <w:tabs>
          <w:tab w:val="clear" w:pos="426"/>
        </w:tabs>
        <w:ind w:firstLine="424" w:firstLineChars="202"/>
        <w:rPr>
          <w:highlight w:val="none"/>
        </w:rPr>
      </w:pPr>
    </w:p>
    <w:p>
      <w:pPr>
        <w:tabs>
          <w:tab w:val="clear" w:pos="426"/>
        </w:tabs>
        <w:rPr>
          <w:highlight w:val="none"/>
        </w:rPr>
      </w:pPr>
      <w:r>
        <w:rPr>
          <w:highlight w:val="none"/>
        </w:rPr>
        <w:br w:type="page"/>
      </w:r>
    </w:p>
    <w:p>
      <w:pPr>
        <w:pStyle w:val="42"/>
        <w:tabs>
          <w:tab w:val="clear" w:pos="426"/>
        </w:tabs>
        <w:rPr>
          <w:highlight w:val="none"/>
        </w:rPr>
      </w:pPr>
      <w:bookmarkStart w:id="5" w:name="_Toc190"/>
      <w:r>
        <w:rPr>
          <w:rFonts w:hint="eastAsia"/>
          <w:highlight w:val="none"/>
        </w:rPr>
        <w:t xml:space="preserve">第一册 </w:t>
      </w:r>
      <w:r>
        <w:rPr>
          <w:highlight w:val="none"/>
        </w:rPr>
        <w:t xml:space="preserve"> </w:t>
      </w:r>
      <w:r>
        <w:rPr>
          <w:rFonts w:hint="eastAsia"/>
          <w:highlight w:val="none"/>
        </w:rPr>
        <w:t>专用条款</w:t>
      </w:r>
      <w:bookmarkEnd w:id="5"/>
    </w:p>
    <w:p>
      <w:pPr>
        <w:pStyle w:val="33"/>
        <w:tabs>
          <w:tab w:val="clear" w:pos="426"/>
        </w:tabs>
        <w:rPr>
          <w:highlight w:val="none"/>
        </w:rPr>
      </w:pPr>
      <w:bookmarkStart w:id="6" w:name="_Toc265483798"/>
      <w:bookmarkStart w:id="7" w:name="_Toc31436"/>
      <w:bookmarkStart w:id="8" w:name="_Toc432592813"/>
      <w:r>
        <w:rPr>
          <w:rFonts w:hint="eastAsia"/>
          <w:highlight w:val="none"/>
        </w:rPr>
        <w:t>第一章 竞争性谈判公告</w:t>
      </w:r>
      <w:bookmarkEnd w:id="6"/>
      <w:bookmarkEnd w:id="7"/>
      <w:bookmarkEnd w:id="8"/>
    </w:p>
    <w:p>
      <w:pPr>
        <w:tabs>
          <w:tab w:val="clear" w:pos="426"/>
        </w:tabs>
        <w:rPr>
          <w:b/>
          <w:highlight w:val="none"/>
        </w:rPr>
      </w:pPr>
      <w:r>
        <w:rPr>
          <w:rFonts w:hint="eastAsia"/>
          <w:b/>
          <w:highlight w:val="none"/>
        </w:rPr>
        <w:t>一、项目概况</w:t>
      </w:r>
    </w:p>
    <w:p>
      <w:pPr>
        <w:tabs>
          <w:tab w:val="clear" w:pos="426"/>
        </w:tabs>
        <w:ind w:firstLine="424" w:firstLineChars="202"/>
        <w:rPr>
          <w:rFonts w:hint="eastAsia" w:eastAsia="宋体"/>
          <w:kern w:val="2"/>
          <w:highlight w:val="none"/>
          <w:lang w:eastAsia="zh-CN"/>
        </w:rPr>
      </w:pPr>
      <w:bookmarkStart w:id="9" w:name="项目概况2"/>
      <w:r>
        <w:rPr>
          <w:rFonts w:hint="eastAsia"/>
          <w:highlight w:val="none"/>
        </w:rPr>
        <w:t>1.项目编号：</w:t>
      </w:r>
      <w:r>
        <w:rPr>
          <w:rFonts w:hint="eastAsia"/>
          <w:highlight w:val="none"/>
          <w:u w:val="none"/>
          <w:lang w:eastAsia="zh-CN"/>
        </w:rPr>
        <w:t>2021-LJNSHC-F3001</w:t>
      </w:r>
    </w:p>
    <w:p>
      <w:pPr>
        <w:tabs>
          <w:tab w:val="clear" w:pos="426"/>
        </w:tabs>
        <w:ind w:firstLine="424" w:firstLineChars="202"/>
        <w:rPr>
          <w:highlight w:val="none"/>
        </w:rPr>
      </w:pPr>
      <w:r>
        <w:rPr>
          <w:rFonts w:hint="eastAsia"/>
          <w:highlight w:val="none"/>
        </w:rPr>
        <w:t>2.项目名称：</w:t>
      </w:r>
      <w:r>
        <w:rPr>
          <w:rFonts w:hint="eastAsia"/>
          <w:szCs w:val="21"/>
          <w:highlight w:val="none"/>
        </w:rPr>
        <w:t>车辆租赁服务项目</w:t>
      </w:r>
    </w:p>
    <w:p>
      <w:pPr>
        <w:tabs>
          <w:tab w:val="clear" w:pos="426"/>
        </w:tabs>
        <w:ind w:firstLine="424" w:firstLineChars="202"/>
        <w:rPr>
          <w:highlight w:val="none"/>
        </w:rPr>
      </w:pPr>
      <w:r>
        <w:rPr>
          <w:rFonts w:hint="eastAsia"/>
          <w:highlight w:val="none"/>
        </w:rPr>
        <w:t>3.采购人：中国人民解放军31627部队</w:t>
      </w:r>
    </w:p>
    <w:p>
      <w:pPr>
        <w:tabs>
          <w:tab w:val="clear" w:pos="426"/>
        </w:tabs>
        <w:ind w:firstLine="424" w:firstLineChars="202"/>
        <w:rPr>
          <w:highlight w:val="none"/>
        </w:rPr>
      </w:pPr>
      <w:r>
        <w:rPr>
          <w:rFonts w:hint="eastAsia"/>
          <w:highlight w:val="none"/>
        </w:rPr>
        <w:t>4.采购代理机构：深圳市深水水务咨询有限公司</w:t>
      </w:r>
    </w:p>
    <w:p>
      <w:pPr>
        <w:tabs>
          <w:tab w:val="clear" w:pos="426"/>
        </w:tabs>
        <w:ind w:firstLine="424" w:firstLineChars="202"/>
        <w:rPr>
          <w:highlight w:val="none"/>
        </w:rPr>
      </w:pPr>
      <w:r>
        <w:rPr>
          <w:rFonts w:hint="eastAsia"/>
          <w:highlight w:val="none"/>
        </w:rPr>
        <w:t>5.项目地点：广东省</w:t>
      </w:r>
    </w:p>
    <w:p>
      <w:pPr>
        <w:tabs>
          <w:tab w:val="clear" w:pos="426"/>
        </w:tabs>
        <w:ind w:firstLine="424" w:firstLineChars="202"/>
        <w:rPr>
          <w:highlight w:val="none"/>
        </w:rPr>
      </w:pPr>
      <w:r>
        <w:rPr>
          <w:rFonts w:hint="eastAsia"/>
          <w:highlight w:val="none"/>
        </w:rPr>
        <w:t>6.项目规模及特征：详</w:t>
      </w:r>
      <w:r>
        <w:rPr>
          <w:rFonts w:hint="eastAsia"/>
          <w:kern w:val="2"/>
          <w:highlight w:val="none"/>
        </w:rPr>
        <w:t>见竞争性谈判文件及采购需求</w:t>
      </w:r>
      <w:r>
        <w:rPr>
          <w:rFonts w:hint="eastAsia"/>
          <w:highlight w:val="none"/>
        </w:rPr>
        <w:t>。</w:t>
      </w:r>
    </w:p>
    <w:p>
      <w:pPr>
        <w:tabs>
          <w:tab w:val="clear" w:pos="426"/>
        </w:tabs>
        <w:ind w:firstLine="424" w:firstLineChars="202"/>
        <w:rPr>
          <w:highlight w:val="none"/>
        </w:rPr>
      </w:pPr>
      <w:r>
        <w:rPr>
          <w:rFonts w:hint="eastAsia"/>
          <w:highlight w:val="none"/>
        </w:rPr>
        <w:t>7.资金来源：财政资金100%</w:t>
      </w:r>
    </w:p>
    <w:p>
      <w:pPr>
        <w:tabs>
          <w:tab w:val="clear" w:pos="426"/>
        </w:tabs>
        <w:ind w:firstLine="424" w:firstLineChars="202"/>
        <w:rPr>
          <w:highlight w:val="none"/>
        </w:rPr>
      </w:pPr>
      <w:r>
        <w:rPr>
          <w:rFonts w:hint="eastAsia"/>
          <w:color w:val="000000"/>
          <w:highlight w:val="none"/>
        </w:rPr>
        <w:t>8.采购内容</w:t>
      </w:r>
      <w:r>
        <w:rPr>
          <w:rFonts w:hint="eastAsia"/>
          <w:highlight w:val="none"/>
        </w:rPr>
        <w:t>：详</w:t>
      </w:r>
      <w:r>
        <w:rPr>
          <w:rFonts w:hint="eastAsia"/>
          <w:kern w:val="2"/>
          <w:highlight w:val="none"/>
        </w:rPr>
        <w:t>见竞争性谈判文件及采购需求</w:t>
      </w:r>
      <w:r>
        <w:rPr>
          <w:rFonts w:hint="eastAsia"/>
          <w:highlight w:val="none"/>
        </w:rPr>
        <w:t>。</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3415"/>
        <w:gridCol w:w="708"/>
        <w:gridCol w:w="993"/>
        <w:gridCol w:w="993"/>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8" w:type="pct"/>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序号</w:t>
            </w:r>
          </w:p>
        </w:tc>
        <w:tc>
          <w:tcPr>
            <w:tcW w:w="2002" w:type="pct"/>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货物名称</w:t>
            </w:r>
          </w:p>
        </w:tc>
        <w:tc>
          <w:tcPr>
            <w:tcW w:w="415" w:type="pct"/>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数量</w:t>
            </w:r>
          </w:p>
        </w:tc>
        <w:tc>
          <w:tcPr>
            <w:tcW w:w="582" w:type="pct"/>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单位</w:t>
            </w:r>
          </w:p>
        </w:tc>
        <w:tc>
          <w:tcPr>
            <w:tcW w:w="582" w:type="pct"/>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备注</w:t>
            </w:r>
          </w:p>
        </w:tc>
        <w:tc>
          <w:tcPr>
            <w:tcW w:w="1030" w:type="pct"/>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预算限额(元)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8" w:type="pct"/>
            <w:vAlign w:val="center"/>
          </w:tcPr>
          <w:p>
            <w:pPr>
              <w:tabs>
                <w:tab w:val="clear" w:pos="426"/>
              </w:tabs>
              <w:spacing w:line="240" w:lineRule="auto"/>
              <w:jc w:val="center"/>
              <w:rPr>
                <w:bCs/>
                <w:szCs w:val="21"/>
                <w:highlight w:val="none"/>
              </w:rPr>
            </w:pPr>
            <w:r>
              <w:rPr>
                <w:rFonts w:hint="eastAsia"/>
                <w:bCs/>
                <w:szCs w:val="21"/>
                <w:highlight w:val="none"/>
              </w:rPr>
              <w:t>1</w:t>
            </w:r>
          </w:p>
        </w:tc>
        <w:tc>
          <w:tcPr>
            <w:tcW w:w="2002" w:type="pct"/>
            <w:vAlign w:val="center"/>
          </w:tcPr>
          <w:p>
            <w:pPr>
              <w:tabs>
                <w:tab w:val="clear" w:pos="426"/>
              </w:tabs>
              <w:spacing w:line="240" w:lineRule="auto"/>
              <w:jc w:val="center"/>
              <w:rPr>
                <w:bCs/>
                <w:szCs w:val="21"/>
                <w:highlight w:val="none"/>
              </w:rPr>
            </w:pPr>
            <w:r>
              <w:rPr>
                <w:rFonts w:hint="eastAsia"/>
                <w:szCs w:val="21"/>
                <w:highlight w:val="none"/>
              </w:rPr>
              <w:t>车辆租赁服务项目</w:t>
            </w:r>
          </w:p>
        </w:tc>
        <w:tc>
          <w:tcPr>
            <w:tcW w:w="415" w:type="pct"/>
            <w:vAlign w:val="center"/>
          </w:tcPr>
          <w:p>
            <w:pPr>
              <w:tabs>
                <w:tab w:val="clear" w:pos="426"/>
              </w:tabs>
              <w:spacing w:line="240" w:lineRule="auto"/>
              <w:jc w:val="center"/>
              <w:rPr>
                <w:bCs/>
                <w:szCs w:val="21"/>
                <w:highlight w:val="none"/>
              </w:rPr>
            </w:pPr>
            <w:r>
              <w:rPr>
                <w:rFonts w:hint="eastAsia"/>
                <w:bCs/>
                <w:szCs w:val="21"/>
                <w:highlight w:val="none"/>
              </w:rPr>
              <w:t>1</w:t>
            </w:r>
          </w:p>
        </w:tc>
        <w:tc>
          <w:tcPr>
            <w:tcW w:w="582" w:type="pct"/>
            <w:vAlign w:val="center"/>
          </w:tcPr>
          <w:p>
            <w:pPr>
              <w:tabs>
                <w:tab w:val="clear" w:pos="426"/>
              </w:tabs>
              <w:spacing w:line="240" w:lineRule="auto"/>
              <w:jc w:val="center"/>
              <w:rPr>
                <w:bCs/>
                <w:szCs w:val="21"/>
                <w:highlight w:val="none"/>
              </w:rPr>
            </w:pPr>
            <w:r>
              <w:rPr>
                <w:rFonts w:hint="eastAsia"/>
                <w:szCs w:val="21"/>
                <w:highlight w:val="none"/>
              </w:rPr>
              <w:t>项</w:t>
            </w:r>
          </w:p>
        </w:tc>
        <w:tc>
          <w:tcPr>
            <w:tcW w:w="582" w:type="pct"/>
            <w:vAlign w:val="center"/>
          </w:tcPr>
          <w:p>
            <w:pPr>
              <w:tabs>
                <w:tab w:val="clear" w:pos="426"/>
              </w:tabs>
              <w:spacing w:line="240" w:lineRule="auto"/>
              <w:jc w:val="center"/>
              <w:rPr>
                <w:bCs/>
                <w:szCs w:val="21"/>
                <w:highlight w:val="none"/>
              </w:rPr>
            </w:pPr>
            <w:r>
              <w:rPr>
                <w:rFonts w:hint="eastAsia"/>
                <w:szCs w:val="21"/>
                <w:highlight w:val="none"/>
              </w:rPr>
              <w:t>/</w:t>
            </w:r>
          </w:p>
        </w:tc>
        <w:tc>
          <w:tcPr>
            <w:tcW w:w="1030" w:type="pct"/>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311</w:t>
            </w:r>
            <w:r>
              <w:rPr>
                <w:rFonts w:cs="Times New Roman"/>
                <w:szCs w:val="21"/>
                <w:highlight w:val="none"/>
              </w:rPr>
              <w:t>,</w:t>
            </w:r>
            <w:r>
              <w:rPr>
                <w:rFonts w:hint="eastAsia" w:cs="Times New Roman"/>
                <w:szCs w:val="21"/>
                <w:highlight w:val="none"/>
              </w:rPr>
              <w:t>3</w:t>
            </w:r>
            <w:r>
              <w:rPr>
                <w:rFonts w:cs="Times New Roman"/>
                <w:szCs w:val="21"/>
                <w:highlight w:val="none"/>
              </w:rPr>
              <w:t>00.00</w:t>
            </w:r>
          </w:p>
        </w:tc>
      </w:tr>
    </w:tbl>
    <w:p>
      <w:pPr>
        <w:tabs>
          <w:tab w:val="clear" w:pos="426"/>
        </w:tabs>
        <w:ind w:firstLine="424" w:firstLineChars="202"/>
        <w:rPr>
          <w:highlight w:val="none"/>
        </w:rPr>
      </w:pPr>
      <w:r>
        <w:rPr>
          <w:rFonts w:hint="eastAsia"/>
          <w:highlight w:val="none"/>
        </w:rPr>
        <w:t>9.采购方式：竞争性谈判</w:t>
      </w:r>
    </w:p>
    <w:p>
      <w:pPr>
        <w:tabs>
          <w:tab w:val="clear" w:pos="426"/>
        </w:tabs>
        <w:ind w:firstLine="424" w:firstLineChars="202"/>
        <w:rPr>
          <w:highlight w:val="none"/>
        </w:rPr>
      </w:pPr>
      <w:r>
        <w:rPr>
          <w:rFonts w:hint="eastAsia"/>
          <w:highlight w:val="none"/>
        </w:rPr>
        <w:t>1</w:t>
      </w:r>
      <w:r>
        <w:rPr>
          <w:highlight w:val="none"/>
        </w:rPr>
        <w:t>0</w:t>
      </w:r>
      <w:r>
        <w:rPr>
          <w:rFonts w:hint="eastAsia"/>
          <w:highlight w:val="none"/>
        </w:rPr>
        <w:t>.谈判方法：最低评标价法</w:t>
      </w:r>
    </w:p>
    <w:p>
      <w:pPr>
        <w:tabs>
          <w:tab w:val="clear" w:pos="426"/>
        </w:tabs>
        <w:ind w:firstLine="424" w:firstLineChars="202"/>
        <w:rPr>
          <w:highlight w:val="none"/>
        </w:rPr>
      </w:pPr>
      <w:r>
        <w:rPr>
          <w:rFonts w:hint="eastAsia"/>
          <w:highlight w:val="none"/>
        </w:rPr>
        <w:t>1</w:t>
      </w:r>
      <w:r>
        <w:rPr>
          <w:highlight w:val="none"/>
        </w:rPr>
        <w:t>1</w:t>
      </w:r>
      <w:r>
        <w:rPr>
          <w:rFonts w:hint="eastAsia"/>
          <w:highlight w:val="none"/>
        </w:rPr>
        <w:t>.服务期要求：</w:t>
      </w:r>
      <w:bookmarkEnd w:id="9"/>
      <w:r>
        <w:rPr>
          <w:rFonts w:hint="eastAsia"/>
          <w:highlight w:val="none"/>
        </w:rPr>
        <w:t>合同签订</w:t>
      </w:r>
      <w:r>
        <w:rPr>
          <w:highlight w:val="none"/>
        </w:rPr>
        <w:t>1年，到期后，根据服务质量情况甲方可与</w:t>
      </w:r>
      <w:r>
        <w:rPr>
          <w:rFonts w:hint="eastAsia"/>
          <w:highlight w:val="none"/>
          <w:lang w:val="en-US" w:eastAsia="zh-CN"/>
        </w:rPr>
        <w:t>成交</w:t>
      </w:r>
      <w:r>
        <w:rPr>
          <w:highlight w:val="none"/>
        </w:rPr>
        <w:t>人续签1年。</w:t>
      </w:r>
    </w:p>
    <w:p>
      <w:pPr>
        <w:tabs>
          <w:tab w:val="clear" w:pos="426"/>
        </w:tabs>
        <w:rPr>
          <w:b/>
          <w:highlight w:val="none"/>
        </w:rPr>
      </w:pPr>
      <w:r>
        <w:rPr>
          <w:rFonts w:hint="eastAsia"/>
          <w:b/>
          <w:highlight w:val="none"/>
        </w:rPr>
        <w:t>二、供应商资格要求</w:t>
      </w:r>
    </w:p>
    <w:p>
      <w:pPr>
        <w:tabs>
          <w:tab w:val="clear" w:pos="426"/>
        </w:tabs>
        <w:ind w:firstLine="424" w:firstLineChars="202"/>
        <w:rPr>
          <w:rFonts w:cs="Times New Roman"/>
          <w:kern w:val="2"/>
          <w:szCs w:val="20"/>
          <w:highlight w:val="none"/>
        </w:rPr>
      </w:pPr>
      <w:r>
        <w:rPr>
          <w:rFonts w:hint="eastAsia" w:cs="Times New Roman"/>
          <w:kern w:val="2"/>
          <w:szCs w:val="20"/>
          <w:highlight w:val="none"/>
        </w:rPr>
        <w:t>1.谈判应答人</w:t>
      </w:r>
      <w:r>
        <w:rPr>
          <w:rFonts w:hint="eastAsia"/>
          <w:highlight w:val="none"/>
        </w:rPr>
        <w:t>必须是在中华人民共和国境内注册的有合法经营资格的法人或其他组织，且经营范围包含汽车租赁；（证明文件：须提供合法有效的营业执照或法人证书等证明材料的复印件加盖投标人公章，原件备查；如营业执照不能体现上述信息的，须要提供营业执照注册地的工商局或市场监督管理局网站上查询的投标人市场主体信息（须含评审内容），打印文件需加盖</w:t>
      </w:r>
      <w:r>
        <w:rPr>
          <w:rFonts w:hint="eastAsia" w:cs="Times New Roman"/>
          <w:kern w:val="2"/>
          <w:szCs w:val="20"/>
          <w:highlight w:val="none"/>
        </w:rPr>
        <w:t>谈判应答人</w:t>
      </w:r>
      <w:r>
        <w:rPr>
          <w:rFonts w:hint="eastAsia"/>
          <w:highlight w:val="none"/>
        </w:rPr>
        <w:t>公章）；</w:t>
      </w:r>
    </w:p>
    <w:p>
      <w:pPr>
        <w:tabs>
          <w:tab w:val="clear" w:pos="426"/>
        </w:tabs>
        <w:ind w:firstLine="424" w:firstLineChars="202"/>
        <w:rPr>
          <w:highlight w:val="none"/>
        </w:rPr>
      </w:pPr>
      <w:r>
        <w:rPr>
          <w:rFonts w:hint="eastAsia"/>
          <w:highlight w:val="none"/>
        </w:rPr>
        <w:t>2.本项目</w:t>
      </w:r>
      <w:r>
        <w:rPr>
          <w:rFonts w:hint="eastAsia"/>
          <w:b/>
          <w:bCs/>
          <w:highlight w:val="none"/>
        </w:rPr>
        <w:t>不接受</w:t>
      </w:r>
      <w:r>
        <w:rPr>
          <w:rFonts w:hint="eastAsia"/>
          <w:highlight w:val="none"/>
        </w:rPr>
        <w:t>联合体谈判应答，成交后不允许转包、分包；</w:t>
      </w:r>
    </w:p>
    <w:p>
      <w:pPr>
        <w:tabs>
          <w:tab w:val="clear" w:pos="426"/>
        </w:tabs>
        <w:ind w:firstLine="424" w:firstLineChars="202"/>
        <w:rPr>
          <w:highlight w:val="none"/>
        </w:rPr>
      </w:pPr>
      <w:r>
        <w:rPr>
          <w:rFonts w:hint="eastAsia"/>
          <w:highlight w:val="none"/>
        </w:rPr>
        <w:t>3</w:t>
      </w:r>
      <w:r>
        <w:rPr>
          <w:highlight w:val="none"/>
        </w:rPr>
        <w:t>.参与本项目谈判应答前三年内，在经营活动中没有重大违法记录（由供应商在《政府采购谈判应答及履约承诺函》中作出声明）。</w:t>
      </w:r>
    </w:p>
    <w:p>
      <w:pPr>
        <w:tabs>
          <w:tab w:val="clear" w:pos="426"/>
        </w:tabs>
        <w:ind w:firstLine="424" w:firstLineChars="202"/>
        <w:rPr>
          <w:highlight w:val="none"/>
        </w:rPr>
      </w:pPr>
      <w:r>
        <w:rPr>
          <w:rFonts w:hint="eastAsia"/>
          <w:highlight w:val="none"/>
        </w:rPr>
        <w:t>4</w:t>
      </w:r>
      <w:r>
        <w:rPr>
          <w:highlight w:val="none"/>
        </w:rPr>
        <w:t>.参与本项目政府采购活动时不存在被有关部门禁止参与政府采购活动且在有效期内的情况（由供应商在《政府采购谈判应答及履约承诺函》中作出声明）。</w:t>
      </w:r>
    </w:p>
    <w:p>
      <w:pPr>
        <w:tabs>
          <w:tab w:val="clear" w:pos="426"/>
        </w:tabs>
        <w:ind w:firstLine="424" w:firstLineChars="202"/>
        <w:rPr>
          <w:highlight w:val="none"/>
        </w:rPr>
      </w:pPr>
      <w:r>
        <w:rPr>
          <w:rFonts w:hint="eastAsia"/>
          <w:highlight w:val="none"/>
        </w:rPr>
        <w:t>5</w:t>
      </w:r>
      <w:r>
        <w:rPr>
          <w:highlight w:val="none"/>
        </w:rPr>
        <w:t>.参与本项目的供应商具备《中华人民共和国政府采购法》第二十二条</w:t>
      </w:r>
      <w:r>
        <w:rPr>
          <w:rFonts w:hint="eastAsia"/>
          <w:highlight w:val="none"/>
        </w:rPr>
        <w:t>规定的资质</w:t>
      </w:r>
      <w:r>
        <w:rPr>
          <w:highlight w:val="none"/>
        </w:rPr>
        <w:t>（由供应商在《政府采购谈判应答及履约承诺函》中作出声明）。</w:t>
      </w:r>
    </w:p>
    <w:p>
      <w:pPr>
        <w:tabs>
          <w:tab w:val="clear" w:pos="426"/>
        </w:tabs>
        <w:ind w:firstLine="424" w:firstLineChars="202"/>
        <w:rPr>
          <w:highlight w:val="none"/>
        </w:rPr>
      </w:pPr>
      <w:r>
        <w:rPr>
          <w:rFonts w:hint="eastAsia"/>
          <w:highlight w:val="none"/>
        </w:rPr>
        <w:t>6</w:t>
      </w:r>
      <w:r>
        <w:rPr>
          <w:highlight w:val="none"/>
        </w:rPr>
        <w:t>.参与政府采购项目谈判应答的供应商未被列入失信被执行人、重大税收违法案件当事人名单、政府采购严重违法失信行为记录名单（由供应商在《政府采购谈判应答及履约承诺函》中作出声明）。</w:t>
      </w:r>
    </w:p>
    <w:p>
      <w:pPr>
        <w:tabs>
          <w:tab w:val="clear" w:pos="426"/>
        </w:tabs>
        <w:ind w:firstLine="424" w:firstLineChars="202"/>
        <w:rPr>
          <w:highlight w:val="none"/>
        </w:rPr>
      </w:pPr>
      <w:r>
        <w:rPr>
          <w:rFonts w:hint="eastAsia"/>
          <w:highlight w:val="none"/>
        </w:rPr>
        <w:t>7</w:t>
      </w:r>
      <w:r>
        <w:rPr>
          <w:highlight w:val="none"/>
        </w:rPr>
        <w:t>.</w:t>
      </w:r>
      <w:r>
        <w:rPr>
          <w:rFonts w:hint="eastAsia"/>
          <w:highlight w:val="none"/>
        </w:rPr>
        <w:t>谈判应答人须具备《道路运输经营许可证》（有效期内），投入运营车辆需具备《道路运输证》（有效期内）。（提供复印件加盖谈判应答人公章，原件备查）。</w:t>
      </w:r>
    </w:p>
    <w:p>
      <w:pPr>
        <w:tabs>
          <w:tab w:val="clear" w:pos="426"/>
        </w:tabs>
        <w:rPr>
          <w:b/>
          <w:highlight w:val="none"/>
        </w:rPr>
      </w:pPr>
      <w:r>
        <w:rPr>
          <w:rFonts w:hint="eastAsia"/>
          <w:b/>
          <w:highlight w:val="none"/>
        </w:rPr>
        <w:t>三、获取竞争性谈判文件的时间、地点、方式及竞争性谈判文件售价</w:t>
      </w:r>
    </w:p>
    <w:p>
      <w:pPr>
        <w:tabs>
          <w:tab w:val="clear" w:pos="426"/>
        </w:tabs>
        <w:ind w:firstLine="424" w:firstLineChars="202"/>
        <w:rPr>
          <w:highlight w:val="none"/>
        </w:rPr>
      </w:pPr>
      <w:r>
        <w:rPr>
          <w:highlight w:val="none"/>
        </w:rPr>
        <w:t>1</w:t>
      </w:r>
      <w:r>
        <w:rPr>
          <w:rFonts w:hint="eastAsia"/>
          <w:highlight w:val="none"/>
        </w:rPr>
        <w:t>.获取竞争性谈判文件时间：</w:t>
      </w:r>
      <w:r>
        <w:rPr>
          <w:rFonts w:hint="eastAsia"/>
          <w:highlight w:val="none"/>
          <w:u w:val="single"/>
        </w:rPr>
        <w:t>202</w:t>
      </w:r>
      <w:r>
        <w:rPr>
          <w:rFonts w:hint="eastAsia"/>
          <w:highlight w:val="none"/>
          <w:u w:val="single"/>
          <w:lang w:val="en-US" w:eastAsia="zh-CN"/>
        </w:rPr>
        <w:t>1</w:t>
      </w:r>
      <w:r>
        <w:rPr>
          <w:rFonts w:hint="eastAsia"/>
          <w:highlight w:val="none"/>
        </w:rPr>
        <w:t>年</w:t>
      </w:r>
      <w:r>
        <w:rPr>
          <w:rFonts w:hint="eastAsia"/>
          <w:highlight w:val="none"/>
          <w:u w:val="single"/>
          <w:lang w:val="en-US" w:eastAsia="zh-CN"/>
        </w:rPr>
        <w:t>11</w:t>
      </w:r>
      <w:r>
        <w:rPr>
          <w:rFonts w:hint="eastAsia"/>
          <w:highlight w:val="none"/>
        </w:rPr>
        <w:t>月</w:t>
      </w:r>
      <w:r>
        <w:rPr>
          <w:rFonts w:hint="eastAsia"/>
          <w:highlight w:val="none"/>
          <w:u w:val="single"/>
          <w:lang w:val="en-US" w:eastAsia="zh-CN"/>
        </w:rPr>
        <w:t>17</w:t>
      </w:r>
      <w:r>
        <w:rPr>
          <w:rFonts w:hint="eastAsia"/>
          <w:highlight w:val="none"/>
        </w:rPr>
        <w:t>日起至</w:t>
      </w:r>
      <w:r>
        <w:rPr>
          <w:rFonts w:hint="eastAsia"/>
          <w:highlight w:val="none"/>
          <w:u w:val="single"/>
        </w:rPr>
        <w:t>202</w:t>
      </w:r>
      <w:r>
        <w:rPr>
          <w:rFonts w:hint="eastAsia"/>
          <w:highlight w:val="none"/>
          <w:u w:val="single"/>
          <w:lang w:val="en-US" w:eastAsia="zh-CN"/>
        </w:rPr>
        <w:t>1</w:t>
      </w:r>
      <w:r>
        <w:rPr>
          <w:rFonts w:hint="eastAsia"/>
          <w:highlight w:val="none"/>
        </w:rPr>
        <w:t>年</w:t>
      </w:r>
      <w:r>
        <w:rPr>
          <w:rFonts w:hint="eastAsia"/>
          <w:highlight w:val="none"/>
          <w:u w:val="single"/>
          <w:lang w:val="en-US" w:eastAsia="zh-CN"/>
        </w:rPr>
        <w:t>11</w:t>
      </w:r>
      <w:r>
        <w:rPr>
          <w:rFonts w:hint="eastAsia"/>
          <w:highlight w:val="none"/>
        </w:rPr>
        <w:t>月</w:t>
      </w:r>
      <w:r>
        <w:rPr>
          <w:rFonts w:hint="eastAsia"/>
          <w:highlight w:val="none"/>
          <w:u w:val="single"/>
          <w:lang w:val="en-US" w:eastAsia="zh-CN"/>
        </w:rPr>
        <w:t>23</w:t>
      </w:r>
      <w:r>
        <w:rPr>
          <w:rFonts w:hint="eastAsia"/>
          <w:highlight w:val="none"/>
        </w:rPr>
        <w:t>日（节假日除外），上午</w:t>
      </w:r>
      <w:r>
        <w:rPr>
          <w:rFonts w:hint="eastAsia"/>
          <w:highlight w:val="none"/>
          <w:u w:val="single"/>
        </w:rPr>
        <w:t xml:space="preserve"> 09:00</w:t>
      </w:r>
      <w:r>
        <w:rPr>
          <w:rFonts w:hint="eastAsia"/>
          <w:highlight w:val="none"/>
        </w:rPr>
        <w:t>～</w:t>
      </w:r>
      <w:r>
        <w:rPr>
          <w:rFonts w:hint="eastAsia"/>
          <w:highlight w:val="none"/>
          <w:u w:val="single"/>
        </w:rPr>
        <w:t>11:30</w:t>
      </w:r>
      <w:r>
        <w:rPr>
          <w:rFonts w:hint="eastAsia"/>
          <w:highlight w:val="none"/>
        </w:rPr>
        <w:t>，下午</w:t>
      </w:r>
      <w:r>
        <w:rPr>
          <w:rFonts w:hint="eastAsia"/>
          <w:highlight w:val="none"/>
          <w:u w:val="single"/>
        </w:rPr>
        <w:t>14:00</w:t>
      </w:r>
      <w:r>
        <w:rPr>
          <w:rFonts w:hint="eastAsia"/>
          <w:highlight w:val="none"/>
        </w:rPr>
        <w:t>～</w:t>
      </w:r>
      <w:r>
        <w:rPr>
          <w:rFonts w:hint="eastAsia"/>
          <w:highlight w:val="none"/>
          <w:u w:val="single"/>
        </w:rPr>
        <w:t>17:30（</w:t>
      </w:r>
      <w:r>
        <w:rPr>
          <w:rFonts w:hint="eastAsia"/>
          <w:highlight w:val="none"/>
        </w:rPr>
        <w:t>北京时间）。</w:t>
      </w:r>
    </w:p>
    <w:p>
      <w:pPr>
        <w:tabs>
          <w:tab w:val="clear" w:pos="426"/>
        </w:tabs>
        <w:ind w:firstLine="424" w:firstLineChars="202"/>
        <w:rPr>
          <w:highlight w:val="none"/>
        </w:rPr>
      </w:pPr>
      <w:r>
        <w:rPr>
          <w:highlight w:val="none"/>
        </w:rPr>
        <w:t>2</w:t>
      </w:r>
      <w:r>
        <w:rPr>
          <w:rFonts w:hint="eastAsia"/>
          <w:highlight w:val="none"/>
        </w:rPr>
        <w:t>.获取竞争性谈判文件地点：</w:t>
      </w:r>
      <w:r>
        <w:rPr>
          <w:rFonts w:hint="eastAsia"/>
          <w:highlight w:val="none"/>
          <w:lang w:eastAsia="zh-CN"/>
        </w:rPr>
        <w:t>深圳市罗湖区清水河一路116号罗湖投资控股大厦A座4层会议室</w:t>
      </w:r>
      <w:r>
        <w:rPr>
          <w:rFonts w:hint="eastAsia"/>
          <w:highlight w:val="none"/>
        </w:rPr>
        <w:t>。</w:t>
      </w:r>
    </w:p>
    <w:p>
      <w:pPr>
        <w:tabs>
          <w:tab w:val="clear" w:pos="426"/>
        </w:tabs>
        <w:ind w:firstLine="424" w:firstLineChars="202"/>
        <w:rPr>
          <w:highlight w:val="none"/>
        </w:rPr>
      </w:pPr>
      <w:r>
        <w:rPr>
          <w:highlight w:val="none"/>
        </w:rPr>
        <w:t>3</w:t>
      </w:r>
      <w:r>
        <w:rPr>
          <w:rFonts w:hint="eastAsia"/>
          <w:highlight w:val="none"/>
        </w:rPr>
        <w:t>.获取竞争性谈判文件方式：现场购买</w:t>
      </w:r>
      <w:r>
        <w:rPr>
          <w:rFonts w:hint="eastAsia"/>
          <w:highlight w:val="none"/>
          <w:lang w:val="en-US" w:eastAsia="zh-CN"/>
        </w:rPr>
        <w:t>或邮购</w:t>
      </w:r>
      <w:r>
        <w:rPr>
          <w:rFonts w:hint="eastAsia"/>
          <w:highlight w:val="none"/>
        </w:rPr>
        <w:t>。</w:t>
      </w:r>
    </w:p>
    <w:p>
      <w:pPr>
        <w:tabs>
          <w:tab w:val="clear" w:pos="426"/>
        </w:tabs>
        <w:ind w:firstLine="424" w:firstLineChars="202"/>
        <w:rPr>
          <w:highlight w:val="none"/>
        </w:rPr>
      </w:pPr>
      <w:r>
        <w:rPr>
          <w:highlight w:val="none"/>
        </w:rPr>
        <w:t>4</w:t>
      </w:r>
      <w:r>
        <w:rPr>
          <w:rFonts w:hint="eastAsia"/>
          <w:highlight w:val="none"/>
        </w:rPr>
        <w:t>.竞争性谈判文件售价：每套人民币</w:t>
      </w:r>
      <w:r>
        <w:rPr>
          <w:rFonts w:hint="eastAsia"/>
          <w:highlight w:val="none"/>
          <w:lang w:val="en-US" w:eastAsia="zh-CN"/>
        </w:rPr>
        <w:t>3</w:t>
      </w:r>
      <w:r>
        <w:rPr>
          <w:highlight w:val="none"/>
        </w:rPr>
        <w:t>00</w:t>
      </w:r>
      <w:r>
        <w:rPr>
          <w:rFonts w:hint="eastAsia"/>
          <w:highlight w:val="none"/>
        </w:rPr>
        <w:t>元</w:t>
      </w:r>
      <w:r>
        <w:rPr>
          <w:rFonts w:hint="eastAsia"/>
          <w:b/>
          <w:highlight w:val="none"/>
        </w:rPr>
        <w:t>（仅限扫码支付）</w:t>
      </w:r>
      <w:r>
        <w:rPr>
          <w:rFonts w:hint="eastAsia"/>
          <w:highlight w:val="none"/>
        </w:rPr>
        <w:t>，</w:t>
      </w:r>
      <w:r>
        <w:rPr>
          <w:rFonts w:hint="eastAsia"/>
        </w:rPr>
        <w:t>若邮购，每份加收人民币</w:t>
      </w:r>
      <w:r>
        <w:t>50元</w:t>
      </w:r>
      <w:r>
        <w:rPr>
          <w:rFonts w:hint="eastAsia"/>
          <w:lang w:val="en-US" w:eastAsia="zh-CN"/>
        </w:rPr>
        <w:t>，</w:t>
      </w:r>
      <w:r>
        <w:rPr>
          <w:rFonts w:hint="eastAsia"/>
          <w:highlight w:val="none"/>
        </w:rPr>
        <w:t>竞争性谈判文件售后不退。</w:t>
      </w:r>
    </w:p>
    <w:p>
      <w:pPr>
        <w:tabs>
          <w:tab w:val="clear" w:pos="426"/>
        </w:tabs>
        <w:ind w:firstLine="424" w:firstLineChars="202"/>
        <w:rPr>
          <w:highlight w:val="none"/>
        </w:rPr>
      </w:pPr>
      <w:r>
        <w:rPr>
          <w:rFonts w:hint="eastAsia"/>
          <w:highlight w:val="none"/>
        </w:rPr>
        <w:t>5.现场获取竞争性谈判文件时须提交以下资料：</w:t>
      </w:r>
    </w:p>
    <w:p>
      <w:pPr>
        <w:tabs>
          <w:tab w:val="clear" w:pos="426"/>
        </w:tabs>
        <w:ind w:firstLine="424" w:firstLineChars="202"/>
        <w:rPr>
          <w:highlight w:val="none"/>
        </w:rPr>
      </w:pPr>
      <w:r>
        <w:rPr>
          <w:rFonts w:hint="eastAsia"/>
          <w:highlight w:val="none"/>
        </w:rPr>
        <w:t>（1）供应商的营业执照复印件；</w:t>
      </w:r>
    </w:p>
    <w:p>
      <w:pPr>
        <w:tabs>
          <w:tab w:val="clear" w:pos="426"/>
        </w:tabs>
        <w:ind w:firstLine="424" w:firstLineChars="202"/>
        <w:rPr>
          <w:highlight w:val="none"/>
        </w:rPr>
      </w:pPr>
      <w:r>
        <w:rPr>
          <w:rFonts w:hint="eastAsia"/>
          <w:highlight w:val="none"/>
        </w:rPr>
        <w:t>（2）法定代表人证明书、授权委托书、被授权委托人身份证复印件、被授权委托人联系方式</w:t>
      </w:r>
      <w:r>
        <w:rPr>
          <w:rFonts w:hint="eastAsia"/>
          <w:b/>
          <w:highlight w:val="none"/>
        </w:rPr>
        <w:t>（电话、邮箱）</w:t>
      </w:r>
      <w:r>
        <w:rPr>
          <w:rFonts w:hint="eastAsia"/>
          <w:highlight w:val="none"/>
        </w:rPr>
        <w:t>；</w:t>
      </w:r>
    </w:p>
    <w:p>
      <w:pPr>
        <w:tabs>
          <w:tab w:val="clear" w:pos="426"/>
        </w:tabs>
        <w:ind w:firstLine="424" w:firstLineChars="202"/>
        <w:rPr>
          <w:highlight w:val="none"/>
        </w:rPr>
      </w:pPr>
      <w:r>
        <w:rPr>
          <w:rFonts w:hint="eastAsia"/>
          <w:highlight w:val="none"/>
        </w:rPr>
        <w:t>（</w:t>
      </w:r>
      <w:r>
        <w:rPr>
          <w:highlight w:val="none"/>
        </w:rPr>
        <w:t>3）供应商的增值税发票开票（信息）资料；</w:t>
      </w:r>
    </w:p>
    <w:p>
      <w:pPr>
        <w:tabs>
          <w:tab w:val="clear" w:pos="426"/>
        </w:tabs>
        <w:ind w:firstLine="424" w:firstLineChars="202"/>
        <w:rPr>
          <w:highlight w:val="none"/>
        </w:rPr>
      </w:pPr>
      <w:r>
        <w:rPr>
          <w:rFonts w:hint="eastAsia"/>
          <w:highlight w:val="none"/>
        </w:rPr>
        <w:t>以上资料均需加盖公章，原件（成交）备查。</w:t>
      </w:r>
    </w:p>
    <w:p>
      <w:pPr>
        <w:tabs>
          <w:tab w:val="clear" w:pos="426"/>
        </w:tabs>
        <w:ind w:firstLine="424" w:firstLineChars="202"/>
        <w:rPr>
          <w:highlight w:val="none"/>
        </w:rPr>
      </w:pPr>
      <w:r>
        <w:rPr>
          <w:rFonts w:hint="eastAsia"/>
          <w:highlight w:val="none"/>
        </w:rPr>
        <w:t>如需邮购，请快递上述报名资料至采购代理机构并与项目负责人联系。</w:t>
      </w:r>
    </w:p>
    <w:p>
      <w:pPr>
        <w:tabs>
          <w:tab w:val="clear" w:pos="426"/>
        </w:tabs>
        <w:rPr>
          <w:b/>
          <w:highlight w:val="none"/>
        </w:rPr>
      </w:pPr>
      <w:r>
        <w:rPr>
          <w:rFonts w:hint="eastAsia"/>
          <w:b/>
          <w:highlight w:val="none"/>
        </w:rPr>
        <w:t>四、谈判应答文件送达截止时间、谈判初始报价时间及地点</w:t>
      </w:r>
    </w:p>
    <w:p>
      <w:pPr>
        <w:tabs>
          <w:tab w:val="clear" w:pos="426"/>
        </w:tabs>
        <w:ind w:firstLine="424" w:firstLineChars="202"/>
        <w:rPr>
          <w:highlight w:val="none"/>
        </w:rPr>
      </w:pPr>
      <w:r>
        <w:rPr>
          <w:highlight w:val="none"/>
        </w:rPr>
        <w:t>1</w:t>
      </w:r>
      <w:r>
        <w:rPr>
          <w:rFonts w:hint="eastAsia"/>
          <w:highlight w:val="none"/>
        </w:rPr>
        <w:t>.递交谈判应答文件时间：</w:t>
      </w:r>
      <w:r>
        <w:rPr>
          <w:rFonts w:hint="eastAsia"/>
          <w:highlight w:val="none"/>
          <w:u w:val="single"/>
        </w:rPr>
        <w:t>202</w:t>
      </w:r>
      <w:r>
        <w:rPr>
          <w:rFonts w:hint="eastAsia"/>
          <w:highlight w:val="none"/>
          <w:u w:val="single"/>
          <w:lang w:val="en-US" w:eastAsia="zh-CN"/>
        </w:rPr>
        <w:t>1</w:t>
      </w:r>
      <w:r>
        <w:rPr>
          <w:rFonts w:hint="eastAsia"/>
          <w:highlight w:val="none"/>
        </w:rPr>
        <w:t>年</w:t>
      </w:r>
      <w:r>
        <w:rPr>
          <w:rFonts w:hint="eastAsia"/>
          <w:highlight w:val="none"/>
          <w:u w:val="single"/>
          <w:lang w:val="en-US" w:eastAsia="zh-CN"/>
        </w:rPr>
        <w:t>11</w:t>
      </w:r>
      <w:r>
        <w:rPr>
          <w:rFonts w:hint="eastAsia"/>
          <w:highlight w:val="none"/>
        </w:rPr>
        <w:t>月</w:t>
      </w:r>
      <w:r>
        <w:rPr>
          <w:rFonts w:hint="eastAsia"/>
          <w:highlight w:val="none"/>
          <w:u w:val="single"/>
          <w:lang w:val="en-US" w:eastAsia="zh-CN"/>
        </w:rPr>
        <w:t>24</w:t>
      </w:r>
      <w:r>
        <w:rPr>
          <w:rFonts w:hint="eastAsia"/>
          <w:highlight w:val="none"/>
        </w:rPr>
        <w:t>日上午</w:t>
      </w:r>
      <w:r>
        <w:rPr>
          <w:rFonts w:hint="eastAsia"/>
          <w:highlight w:val="none"/>
          <w:u w:val="single"/>
        </w:rPr>
        <w:t xml:space="preserve"> 09:00</w:t>
      </w:r>
      <w:r>
        <w:rPr>
          <w:rFonts w:hint="eastAsia"/>
          <w:highlight w:val="none"/>
        </w:rPr>
        <w:t>～</w:t>
      </w:r>
      <w:r>
        <w:rPr>
          <w:rFonts w:hint="eastAsia"/>
          <w:highlight w:val="none"/>
          <w:u w:val="single"/>
        </w:rPr>
        <w:t>09:30</w:t>
      </w:r>
      <w:r>
        <w:rPr>
          <w:rFonts w:hint="eastAsia"/>
          <w:highlight w:val="none"/>
        </w:rPr>
        <w:t>。</w:t>
      </w:r>
    </w:p>
    <w:p>
      <w:pPr>
        <w:tabs>
          <w:tab w:val="clear" w:pos="426"/>
        </w:tabs>
        <w:ind w:firstLine="424" w:firstLineChars="202"/>
        <w:rPr>
          <w:highlight w:val="none"/>
        </w:rPr>
      </w:pPr>
      <w:r>
        <w:rPr>
          <w:highlight w:val="none"/>
        </w:rPr>
        <w:t>2</w:t>
      </w:r>
      <w:r>
        <w:rPr>
          <w:rFonts w:hint="eastAsia"/>
          <w:highlight w:val="none"/>
        </w:rPr>
        <w:t>.谈判应答文件递交截止及谈判初始报价时间：</w:t>
      </w:r>
      <w:r>
        <w:rPr>
          <w:rFonts w:hint="eastAsia"/>
          <w:highlight w:val="none"/>
          <w:u w:val="single"/>
        </w:rPr>
        <w:t>202</w:t>
      </w:r>
      <w:r>
        <w:rPr>
          <w:rFonts w:hint="eastAsia"/>
          <w:highlight w:val="none"/>
          <w:u w:val="single"/>
          <w:lang w:val="en-US" w:eastAsia="zh-CN"/>
        </w:rPr>
        <w:t>1</w:t>
      </w:r>
      <w:r>
        <w:rPr>
          <w:rFonts w:hint="eastAsia"/>
          <w:highlight w:val="none"/>
        </w:rPr>
        <w:t>年</w:t>
      </w:r>
      <w:r>
        <w:rPr>
          <w:rFonts w:hint="eastAsia"/>
          <w:highlight w:val="none"/>
          <w:u w:val="single"/>
          <w:lang w:val="en-US" w:eastAsia="zh-CN"/>
        </w:rPr>
        <w:t>11</w:t>
      </w:r>
      <w:r>
        <w:rPr>
          <w:rFonts w:hint="eastAsia"/>
          <w:highlight w:val="none"/>
        </w:rPr>
        <w:t>月</w:t>
      </w:r>
      <w:r>
        <w:rPr>
          <w:rFonts w:hint="eastAsia"/>
          <w:highlight w:val="none"/>
          <w:u w:val="single"/>
          <w:lang w:val="en-US" w:eastAsia="zh-CN"/>
        </w:rPr>
        <w:t>24</w:t>
      </w:r>
      <w:r>
        <w:rPr>
          <w:rFonts w:hint="eastAsia"/>
          <w:highlight w:val="none"/>
        </w:rPr>
        <w:t>日上午</w:t>
      </w:r>
      <w:r>
        <w:rPr>
          <w:rFonts w:hint="eastAsia"/>
          <w:highlight w:val="none"/>
          <w:u w:val="single"/>
        </w:rPr>
        <w:t>09</w:t>
      </w:r>
      <w:r>
        <w:rPr>
          <w:rFonts w:hint="eastAsia"/>
          <w:highlight w:val="none"/>
        </w:rPr>
        <w:t>时</w:t>
      </w:r>
      <w:r>
        <w:rPr>
          <w:rFonts w:hint="eastAsia"/>
          <w:highlight w:val="none"/>
          <w:u w:val="single"/>
        </w:rPr>
        <w:t>30</w:t>
      </w:r>
      <w:r>
        <w:rPr>
          <w:rFonts w:hint="eastAsia"/>
          <w:highlight w:val="none"/>
        </w:rPr>
        <w:t>分。</w:t>
      </w:r>
    </w:p>
    <w:p>
      <w:pPr>
        <w:tabs>
          <w:tab w:val="clear" w:pos="426"/>
        </w:tabs>
        <w:ind w:firstLine="424" w:firstLineChars="202"/>
        <w:rPr>
          <w:highlight w:val="none"/>
        </w:rPr>
      </w:pPr>
      <w:r>
        <w:rPr>
          <w:rFonts w:hint="eastAsia"/>
          <w:highlight w:val="none"/>
        </w:rPr>
        <w:t>3.谈判地点：</w:t>
      </w:r>
      <w:r>
        <w:rPr>
          <w:rFonts w:hint="eastAsia"/>
          <w:highlight w:val="none"/>
          <w:lang w:eastAsia="zh-CN"/>
        </w:rPr>
        <w:t>深圳市罗湖区清水河一路116号罗湖投资控股大厦A座4层会议室</w:t>
      </w:r>
      <w:r>
        <w:rPr>
          <w:rFonts w:hint="eastAsia"/>
          <w:highlight w:val="none"/>
        </w:rPr>
        <w:t>。</w:t>
      </w:r>
    </w:p>
    <w:p>
      <w:pPr>
        <w:tabs>
          <w:tab w:val="clear" w:pos="426"/>
        </w:tabs>
        <w:rPr>
          <w:b/>
          <w:highlight w:val="none"/>
        </w:rPr>
      </w:pPr>
      <w:r>
        <w:rPr>
          <w:rFonts w:hint="eastAsia"/>
          <w:b/>
          <w:highlight w:val="none"/>
        </w:rPr>
        <w:t>五、相关信息</w:t>
      </w:r>
    </w:p>
    <w:p>
      <w:pPr>
        <w:tabs>
          <w:tab w:val="clear" w:pos="426"/>
        </w:tabs>
        <w:ind w:firstLine="424" w:firstLineChars="202"/>
        <w:rPr>
          <w:highlight w:val="none"/>
        </w:rPr>
      </w:pPr>
      <w:r>
        <w:rPr>
          <w:rFonts w:hint="eastAsia"/>
          <w:highlight w:val="none"/>
        </w:rPr>
        <w:t xml:space="preserve">中国政府采购网  </w:t>
      </w:r>
      <w:r>
        <w:rPr>
          <w:highlight w:val="none"/>
        </w:rPr>
        <w:t>http://cgzx.sz.gov.cn/</w:t>
      </w:r>
    </w:p>
    <w:p>
      <w:pPr>
        <w:tabs>
          <w:tab w:val="clear" w:pos="426"/>
        </w:tabs>
        <w:ind w:firstLine="424" w:firstLineChars="202"/>
        <w:rPr>
          <w:rFonts w:hint="default" w:eastAsia="宋体"/>
          <w:highlight w:val="none"/>
          <w:lang w:val="en-US" w:eastAsia="zh-CN"/>
        </w:rPr>
      </w:pPr>
      <w:r>
        <w:rPr>
          <w:rFonts w:hint="eastAsia"/>
          <w:highlight w:val="none"/>
        </w:rPr>
        <w:t>中国政府采购网</w:t>
      </w:r>
      <w:r>
        <w:rPr>
          <w:rFonts w:hint="eastAsia"/>
          <w:highlight w:val="none"/>
          <w:lang w:val="en-US" w:eastAsia="zh-CN"/>
        </w:rPr>
        <w:t xml:space="preserve">  http://www.ccgp.gov.cn/</w:t>
      </w:r>
    </w:p>
    <w:p>
      <w:pPr>
        <w:tabs>
          <w:tab w:val="clear" w:pos="426"/>
        </w:tabs>
        <w:ind w:firstLine="424" w:firstLineChars="202"/>
        <w:rPr>
          <w:highlight w:val="none"/>
        </w:rPr>
      </w:pPr>
      <w:r>
        <w:rPr>
          <w:rFonts w:hint="eastAsia"/>
          <w:highlight w:val="none"/>
        </w:rPr>
        <w:t xml:space="preserve">深圳市深水水务咨询有限公司  </w:t>
      </w:r>
      <w:r>
        <w:rPr>
          <w:highlight w:val="none"/>
        </w:rPr>
        <w:t>http://www.szsszx.com/</w:t>
      </w:r>
    </w:p>
    <w:p>
      <w:pPr>
        <w:tabs>
          <w:tab w:val="clear" w:pos="426"/>
        </w:tabs>
        <w:ind w:firstLine="424" w:firstLineChars="202"/>
        <w:rPr>
          <w:highlight w:val="none"/>
        </w:rPr>
      </w:pPr>
      <w:r>
        <w:rPr>
          <w:rFonts w:hint="eastAsia"/>
          <w:highlight w:val="none"/>
        </w:rPr>
        <w:t>采购人联系方式</w:t>
      </w:r>
    </w:p>
    <w:p>
      <w:pPr>
        <w:tabs>
          <w:tab w:val="clear" w:pos="426"/>
        </w:tabs>
        <w:ind w:firstLine="424" w:firstLineChars="202"/>
        <w:rPr>
          <w:highlight w:val="none"/>
        </w:rPr>
      </w:pPr>
      <w:r>
        <w:rPr>
          <w:highlight w:val="none"/>
        </w:rPr>
        <w:t>单位名称</w:t>
      </w:r>
      <w:r>
        <w:rPr>
          <w:rFonts w:hint="eastAsia"/>
          <w:highlight w:val="none"/>
        </w:rPr>
        <w:t xml:space="preserve">：中国人民解放军31627部队 </w:t>
      </w:r>
    </w:p>
    <w:p>
      <w:pPr>
        <w:tabs>
          <w:tab w:val="clear" w:pos="426"/>
        </w:tabs>
        <w:ind w:firstLine="424" w:firstLineChars="202"/>
        <w:rPr>
          <w:rFonts w:hint="default" w:eastAsia="宋体"/>
          <w:highlight w:val="none"/>
          <w:lang w:val="en-US" w:eastAsia="zh-CN"/>
        </w:rPr>
      </w:pPr>
      <w:r>
        <w:rPr>
          <w:rFonts w:hint="eastAsia"/>
          <w:highlight w:val="none"/>
        </w:rPr>
        <w:t>联</w:t>
      </w:r>
      <w:r>
        <w:rPr>
          <w:highlight w:val="none"/>
        </w:rPr>
        <w:t xml:space="preserve"> 系 人：</w:t>
      </w:r>
      <w:r>
        <w:rPr>
          <w:rFonts w:hint="eastAsia"/>
          <w:highlight w:val="none"/>
        </w:rPr>
        <w:t>李</w:t>
      </w:r>
      <w:r>
        <w:rPr>
          <w:rFonts w:hint="eastAsia"/>
          <w:highlight w:val="none"/>
          <w:lang w:val="en-US" w:eastAsia="zh-CN"/>
        </w:rPr>
        <w:t>先生/谢先生</w:t>
      </w:r>
    </w:p>
    <w:p>
      <w:pPr>
        <w:tabs>
          <w:tab w:val="clear" w:pos="426"/>
        </w:tabs>
        <w:ind w:firstLine="424" w:firstLineChars="202"/>
        <w:rPr>
          <w:rFonts w:hint="default" w:eastAsia="宋体"/>
          <w:highlight w:val="none"/>
          <w:lang w:val="en-US" w:eastAsia="zh-CN"/>
        </w:rPr>
      </w:pPr>
      <w:r>
        <w:rPr>
          <w:rFonts w:hint="eastAsia"/>
          <w:highlight w:val="none"/>
        </w:rPr>
        <w:t>电</w:t>
      </w:r>
      <w:r>
        <w:rPr>
          <w:highlight w:val="none"/>
        </w:rPr>
        <w:t xml:space="preserve">    </w:t>
      </w:r>
      <w:r>
        <w:rPr>
          <w:rFonts w:hint="eastAsia"/>
          <w:highlight w:val="none"/>
        </w:rPr>
        <w:t>话：</w:t>
      </w:r>
      <w:r>
        <w:rPr>
          <w:highlight w:val="none"/>
        </w:rPr>
        <w:t>18575217550</w:t>
      </w:r>
      <w:r>
        <w:rPr>
          <w:rFonts w:hint="eastAsia"/>
          <w:highlight w:val="none"/>
          <w:lang w:val="en-US" w:eastAsia="zh-CN"/>
        </w:rPr>
        <w:t>/13380379153</w:t>
      </w:r>
    </w:p>
    <w:p>
      <w:pPr>
        <w:tabs>
          <w:tab w:val="clear" w:pos="426"/>
        </w:tabs>
        <w:ind w:firstLine="424" w:firstLineChars="202"/>
        <w:rPr>
          <w:rFonts w:hint="eastAsia"/>
          <w:highlight w:val="none"/>
          <w:lang w:val="en-US" w:eastAsia="zh-CN"/>
        </w:rPr>
      </w:pPr>
      <w:r>
        <w:rPr>
          <w:rFonts w:hint="eastAsia"/>
          <w:highlight w:val="none"/>
        </w:rPr>
        <w:t>地</w:t>
      </w:r>
      <w:r>
        <w:rPr>
          <w:highlight w:val="none"/>
        </w:rPr>
        <w:t xml:space="preserve">    址：</w:t>
      </w:r>
      <w:r>
        <w:rPr>
          <w:rFonts w:hint="eastAsia"/>
          <w:highlight w:val="none"/>
          <w:lang w:val="en-US" w:eastAsia="zh-CN"/>
        </w:rPr>
        <w:t>广东省深圳市</w:t>
      </w:r>
    </w:p>
    <w:p>
      <w:pPr>
        <w:tabs>
          <w:tab w:val="clear" w:pos="426"/>
        </w:tabs>
        <w:ind w:firstLine="424" w:firstLineChars="202"/>
        <w:rPr>
          <w:highlight w:val="none"/>
        </w:rPr>
      </w:pPr>
      <w:r>
        <w:rPr>
          <w:rFonts w:hint="eastAsia"/>
          <w:highlight w:val="none"/>
        </w:rPr>
        <w:t>采购代理机构联系方式</w:t>
      </w:r>
    </w:p>
    <w:p>
      <w:pPr>
        <w:tabs>
          <w:tab w:val="clear" w:pos="426"/>
        </w:tabs>
        <w:ind w:firstLine="424" w:firstLineChars="202"/>
        <w:rPr>
          <w:highlight w:val="none"/>
        </w:rPr>
      </w:pPr>
      <w:r>
        <w:rPr>
          <w:rFonts w:hint="eastAsia"/>
          <w:highlight w:val="none"/>
        </w:rPr>
        <w:t>单位名称：深圳市深水水务咨询有限公司</w:t>
      </w:r>
    </w:p>
    <w:p>
      <w:pPr>
        <w:tabs>
          <w:tab w:val="clear" w:pos="426"/>
        </w:tabs>
        <w:ind w:firstLine="424" w:firstLineChars="202"/>
        <w:rPr>
          <w:rFonts w:hint="eastAsia" w:eastAsia="宋体"/>
          <w:highlight w:val="none"/>
          <w:lang w:eastAsia="zh-CN"/>
        </w:rPr>
      </w:pPr>
      <w:r>
        <w:rPr>
          <w:rFonts w:hint="eastAsia"/>
          <w:highlight w:val="none"/>
        </w:rPr>
        <w:t>项目负责人：</w:t>
      </w:r>
      <w:r>
        <w:rPr>
          <w:rFonts w:hint="eastAsia"/>
          <w:highlight w:val="none"/>
          <w:lang w:val="en-US" w:eastAsia="zh-CN"/>
        </w:rPr>
        <w:t>蔡工</w:t>
      </w:r>
    </w:p>
    <w:p>
      <w:pPr>
        <w:tabs>
          <w:tab w:val="clear" w:pos="426"/>
        </w:tabs>
        <w:ind w:firstLine="424" w:firstLineChars="202"/>
        <w:rPr>
          <w:rFonts w:hint="eastAsia"/>
          <w:highlight w:val="none"/>
          <w:lang w:val="en-US" w:eastAsia="zh-CN"/>
        </w:rPr>
      </w:pPr>
      <w:r>
        <w:rPr>
          <w:highlight w:val="none"/>
        </w:rPr>
        <w:t xml:space="preserve"> </w:t>
      </w:r>
      <w:r>
        <w:rPr>
          <w:rFonts w:hint="eastAsia"/>
          <w:highlight w:val="none"/>
        </w:rPr>
        <w:t>手</w:t>
      </w:r>
      <w:r>
        <w:rPr>
          <w:highlight w:val="none"/>
        </w:rPr>
        <w:t xml:space="preserve">  </w:t>
      </w:r>
      <w:r>
        <w:rPr>
          <w:rFonts w:hint="eastAsia"/>
          <w:highlight w:val="none"/>
        </w:rPr>
        <w:t>机：</w:t>
      </w:r>
      <w:r>
        <w:rPr>
          <w:rFonts w:hint="eastAsia"/>
          <w:highlight w:val="none"/>
          <w:lang w:val="en-US" w:eastAsia="zh-CN"/>
        </w:rPr>
        <w:t>13925205760</w:t>
      </w:r>
    </w:p>
    <w:p>
      <w:pPr>
        <w:tabs>
          <w:tab w:val="clear" w:pos="426"/>
        </w:tabs>
        <w:ind w:firstLine="424" w:firstLineChars="202"/>
        <w:rPr>
          <w:highlight w:val="none"/>
        </w:rPr>
      </w:pPr>
      <w:r>
        <w:rPr>
          <w:highlight w:val="none"/>
        </w:rPr>
        <w:t>Email：</w:t>
      </w:r>
      <w:r>
        <w:rPr>
          <w:rFonts w:hint="eastAsia"/>
          <w:color w:val="000000"/>
          <w:highlight w:val="none"/>
          <w:u w:val="none"/>
        </w:rPr>
        <w:fldChar w:fldCharType="begin"/>
      </w:r>
      <w:r>
        <w:rPr>
          <w:rFonts w:hint="eastAsia"/>
          <w:color w:val="000000"/>
          <w:highlight w:val="none"/>
          <w:u w:val="none"/>
        </w:rPr>
        <w:instrText xml:space="preserve"> HYPERLINK "mailto:3182899224@qq.com" </w:instrText>
      </w:r>
      <w:r>
        <w:rPr>
          <w:rFonts w:hint="eastAsia"/>
          <w:color w:val="000000"/>
          <w:highlight w:val="none"/>
          <w:u w:val="none"/>
        </w:rPr>
        <w:fldChar w:fldCharType="separate"/>
      </w:r>
      <w:r>
        <w:rPr>
          <w:rStyle w:val="52"/>
          <w:rFonts w:hint="eastAsia"/>
          <w:color w:val="000000"/>
          <w:highlight w:val="none"/>
          <w:u w:val="none"/>
          <w:lang w:val="en-US" w:eastAsia="zh-CN"/>
        </w:rPr>
        <w:t>1425117100</w:t>
      </w:r>
      <w:r>
        <w:rPr>
          <w:rStyle w:val="52"/>
          <w:color w:val="000000"/>
          <w:highlight w:val="none"/>
          <w:u w:val="none"/>
        </w:rPr>
        <w:t>@qq.com</w:t>
      </w:r>
      <w:r>
        <w:rPr>
          <w:rFonts w:hint="eastAsia"/>
          <w:color w:val="000000"/>
          <w:highlight w:val="none"/>
          <w:u w:val="none"/>
        </w:rPr>
        <w:fldChar w:fldCharType="end"/>
      </w:r>
    </w:p>
    <w:p>
      <w:pPr>
        <w:widowControl w:val="0"/>
        <w:shd w:val="clear" w:color="auto" w:fill="auto"/>
        <w:tabs>
          <w:tab w:val="clear" w:pos="426"/>
        </w:tabs>
        <w:spacing w:line="240" w:lineRule="auto"/>
        <w:rPr>
          <w:rFonts w:ascii="Times New Roman" w:hAnsi="Times New Roman" w:cs="Times New Roman"/>
          <w:b/>
          <w:kern w:val="2"/>
          <w:szCs w:val="21"/>
          <w:highlight w:val="none"/>
        </w:rPr>
      </w:pPr>
      <w:r>
        <w:rPr>
          <w:rFonts w:hint="eastAsia" w:ascii="Times New Roman" w:hAnsi="Times New Roman" w:cs="Times New Roman"/>
          <w:b/>
          <w:kern w:val="2"/>
          <w:szCs w:val="21"/>
          <w:highlight w:val="none"/>
          <w:lang w:val="en-US" w:eastAsia="zh-CN"/>
        </w:rPr>
        <w:t>六</w:t>
      </w:r>
      <w:r>
        <w:rPr>
          <w:rFonts w:hint="eastAsia" w:ascii="Times New Roman" w:hAnsi="Times New Roman" w:cs="Times New Roman"/>
          <w:b/>
          <w:kern w:val="2"/>
          <w:szCs w:val="21"/>
          <w:highlight w:val="none"/>
        </w:rPr>
        <w:t>、附件</w:t>
      </w:r>
    </w:p>
    <w:p>
      <w:pPr>
        <w:tabs>
          <w:tab w:val="clear" w:pos="426"/>
        </w:tabs>
        <w:ind w:firstLine="424" w:firstLineChars="202"/>
        <w:rPr>
          <w:highlight w:val="none"/>
        </w:rPr>
      </w:pPr>
      <w:r>
        <w:rPr>
          <w:rFonts w:hint="eastAsia"/>
          <w:highlight w:val="none"/>
        </w:rPr>
        <w:t>招标文件：</w:t>
      </w:r>
      <w:r>
        <w:rPr>
          <w:rStyle w:val="52"/>
          <w:rFonts w:hint="eastAsia"/>
          <w:highlight w:val="none"/>
        </w:rPr>
        <w:t>-点此下载</w:t>
      </w:r>
      <w:r>
        <w:rPr>
          <w:highlight w:val="none"/>
        </w:rPr>
        <w:br w:type="page"/>
      </w:r>
    </w:p>
    <w:p>
      <w:pPr>
        <w:pStyle w:val="33"/>
        <w:tabs>
          <w:tab w:val="clear" w:pos="426"/>
        </w:tabs>
        <w:rPr>
          <w:highlight w:val="none"/>
        </w:rPr>
      </w:pPr>
      <w:bookmarkStart w:id="10" w:name="_Toc31608"/>
      <w:r>
        <w:rPr>
          <w:rFonts w:hint="eastAsia"/>
          <w:highlight w:val="none"/>
        </w:rPr>
        <w:t>第二章 谈判应答须知前附表</w:t>
      </w:r>
      <w:bookmarkEnd w:id="10"/>
    </w:p>
    <w:p>
      <w:pPr>
        <w:tabs>
          <w:tab w:val="clear" w:pos="426"/>
        </w:tabs>
        <w:spacing w:line="240" w:lineRule="auto"/>
        <w:ind w:right="-174" w:rightChars="-83"/>
        <w:rPr>
          <w:highlight w:val="none"/>
        </w:rPr>
      </w:pPr>
      <w:r>
        <w:rPr>
          <w:rFonts w:hint="eastAsia"/>
          <w:highlight w:val="none"/>
        </w:rPr>
        <w:t>说明：本表是对通用条款《供应商须知》条款的补充、修改和完善，如果有矛盾，应以本表为准。</w:t>
      </w:r>
    </w:p>
    <w:tbl>
      <w:tblPr>
        <w:tblStyle w:val="44"/>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702"/>
        <w:gridCol w:w="615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tabs>
                <w:tab w:val="clear" w:pos="426"/>
              </w:tabs>
              <w:adjustRightInd/>
              <w:snapToGrid/>
              <w:spacing w:line="240" w:lineRule="exact"/>
              <w:jc w:val="center"/>
              <w:rPr>
                <w:highlight w:val="none"/>
              </w:rPr>
            </w:pPr>
            <w:r>
              <w:rPr>
                <w:rFonts w:hint="eastAsia"/>
                <w:highlight w:val="none"/>
              </w:rPr>
              <w:t>序号</w:t>
            </w:r>
          </w:p>
        </w:tc>
        <w:tc>
          <w:tcPr>
            <w:tcW w:w="998" w:type="pct"/>
            <w:vAlign w:val="center"/>
          </w:tcPr>
          <w:p>
            <w:pPr>
              <w:tabs>
                <w:tab w:val="clear" w:pos="426"/>
              </w:tabs>
              <w:adjustRightInd/>
              <w:snapToGrid/>
              <w:spacing w:line="240" w:lineRule="exact"/>
              <w:jc w:val="center"/>
              <w:rPr>
                <w:highlight w:val="none"/>
              </w:rPr>
            </w:pPr>
            <w:r>
              <w:rPr>
                <w:rFonts w:hint="eastAsia"/>
                <w:highlight w:val="none"/>
              </w:rPr>
              <w:t>内容</w:t>
            </w:r>
          </w:p>
        </w:tc>
        <w:tc>
          <w:tcPr>
            <w:tcW w:w="3610" w:type="pct"/>
            <w:vAlign w:val="center"/>
          </w:tcPr>
          <w:p>
            <w:pPr>
              <w:tabs>
                <w:tab w:val="clear" w:pos="426"/>
              </w:tabs>
              <w:adjustRightInd/>
              <w:snapToGrid/>
              <w:spacing w:line="240" w:lineRule="exact"/>
              <w:jc w:val="center"/>
              <w:rPr>
                <w:highlight w:val="none"/>
              </w:rPr>
            </w:pPr>
            <w:r>
              <w:rPr>
                <w:rFonts w:hint="eastAsia"/>
                <w:highlight w:val="none"/>
              </w:rPr>
              <w:t>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rFonts w:hint="eastAsia"/>
                <w:highlight w:val="none"/>
              </w:rPr>
              <w:t>联合体谈判应答</w:t>
            </w:r>
          </w:p>
        </w:tc>
        <w:tc>
          <w:tcPr>
            <w:tcW w:w="3610" w:type="pct"/>
            <w:vAlign w:val="center"/>
          </w:tcPr>
          <w:p>
            <w:pPr>
              <w:tabs>
                <w:tab w:val="clear" w:pos="426"/>
              </w:tabs>
              <w:adjustRightInd/>
              <w:snapToGrid/>
              <w:spacing w:line="240" w:lineRule="exact"/>
              <w:rPr>
                <w:highlight w:val="none"/>
              </w:rPr>
            </w:pPr>
            <w:r>
              <w:rPr>
                <w:rFonts w:hint="eastAsia"/>
                <w:highlight w:val="none"/>
              </w:rPr>
              <w:t>■不接受（谈判文件中相关联合体规定均不适用）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highlight w:val="none"/>
              </w:rPr>
              <w:t>踏勘现场</w:t>
            </w:r>
          </w:p>
        </w:tc>
        <w:tc>
          <w:tcPr>
            <w:tcW w:w="3610" w:type="pct"/>
            <w:vAlign w:val="center"/>
          </w:tcPr>
          <w:p>
            <w:pPr>
              <w:tabs>
                <w:tab w:val="clear" w:pos="426"/>
              </w:tabs>
              <w:adjustRightInd/>
              <w:snapToGrid/>
              <w:spacing w:line="240" w:lineRule="exact"/>
              <w:rPr>
                <w:highlight w:val="none"/>
              </w:rPr>
            </w:pPr>
            <w:r>
              <w:rPr>
                <w:rFonts w:hint="eastAsia"/>
                <w:highlight w:val="none"/>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rFonts w:hint="eastAsia"/>
                <w:highlight w:val="none"/>
              </w:rPr>
              <w:t>谈判应答人质疑的截止时间</w:t>
            </w:r>
          </w:p>
        </w:tc>
        <w:tc>
          <w:tcPr>
            <w:tcW w:w="3610" w:type="pct"/>
            <w:vAlign w:val="center"/>
          </w:tcPr>
          <w:p>
            <w:pPr>
              <w:tabs>
                <w:tab w:val="clear" w:pos="426"/>
              </w:tabs>
              <w:adjustRightInd/>
              <w:snapToGrid/>
              <w:spacing w:line="240" w:lineRule="exact"/>
              <w:rPr>
                <w:highlight w:val="none"/>
              </w:rPr>
            </w:pPr>
            <w:r>
              <w:rPr>
                <w:rFonts w:hint="eastAsia"/>
                <w:highlight w:val="none"/>
              </w:rPr>
              <w:t>谈判文件发布之日（当日不计）起第</w:t>
            </w:r>
            <w:r>
              <w:rPr>
                <w:rFonts w:hint="eastAsia"/>
                <w:highlight w:val="none"/>
                <w:lang w:val="en-US" w:eastAsia="zh-CN"/>
              </w:rPr>
              <w:t>2</w:t>
            </w:r>
            <w:r>
              <w:rPr>
                <w:rFonts w:hint="eastAsia"/>
                <w:highlight w:val="none"/>
              </w:rPr>
              <w:t>个工作日</w:t>
            </w:r>
            <w:r>
              <w:rPr>
                <w:rFonts w:hint="eastAsia"/>
                <w:highlight w:val="none"/>
                <w:u w:val="single"/>
              </w:rPr>
              <w:t>17：</w:t>
            </w:r>
            <w:r>
              <w:rPr>
                <w:rFonts w:hint="eastAsia"/>
                <w:highlight w:val="none"/>
                <w:u w:val="single"/>
                <w:lang w:val="en-US" w:eastAsia="zh-CN"/>
              </w:rPr>
              <w:t>0</w:t>
            </w:r>
            <w:r>
              <w:rPr>
                <w:rFonts w:hint="eastAsia"/>
                <w:highlight w:val="none"/>
                <w:u w:val="single"/>
              </w:rPr>
              <w:t>0</w:t>
            </w:r>
            <w:r>
              <w:rPr>
                <w:rFonts w:hint="eastAsia"/>
                <w:highlight w:val="none"/>
              </w:rPr>
              <w:t>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rFonts w:hint="eastAsia"/>
                <w:highlight w:val="none"/>
              </w:rPr>
              <w:t>谈判文件澄清或修补的截止时间</w:t>
            </w:r>
          </w:p>
        </w:tc>
        <w:tc>
          <w:tcPr>
            <w:tcW w:w="3610" w:type="pct"/>
            <w:vAlign w:val="center"/>
          </w:tcPr>
          <w:p>
            <w:pPr>
              <w:tabs>
                <w:tab w:val="clear" w:pos="426"/>
              </w:tabs>
              <w:adjustRightInd/>
              <w:snapToGrid/>
              <w:spacing w:line="240" w:lineRule="exact"/>
              <w:rPr>
                <w:highlight w:val="none"/>
              </w:rPr>
            </w:pPr>
            <w:r>
              <w:rPr>
                <w:rFonts w:hint="eastAsia"/>
                <w:highlight w:val="none"/>
              </w:rPr>
              <w:t>谈判应答截止之日（当日不计）3</w:t>
            </w:r>
            <w:r>
              <w:rPr>
                <w:highlight w:val="none"/>
              </w:rPr>
              <w:t>日</w:t>
            </w:r>
            <w:r>
              <w:rPr>
                <w:rFonts w:hint="eastAsia"/>
                <w:highlight w:val="none"/>
              </w:rPr>
              <w:t>前</w:t>
            </w:r>
            <w:r>
              <w:rPr>
                <w:rFonts w:hint="eastAsia"/>
                <w:highlight w:val="none"/>
                <w:u w:val="single"/>
              </w:rPr>
              <w:t>17：30</w:t>
            </w:r>
            <w:r>
              <w:rPr>
                <w:rFonts w:hint="eastAsia"/>
                <w:highlight w:val="none"/>
              </w:rPr>
              <w:t>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rFonts w:hint="eastAsia"/>
                <w:highlight w:val="none"/>
              </w:rPr>
              <w:t>答疑的截止时间</w:t>
            </w:r>
          </w:p>
        </w:tc>
        <w:tc>
          <w:tcPr>
            <w:tcW w:w="3610" w:type="pct"/>
            <w:vAlign w:val="center"/>
          </w:tcPr>
          <w:p>
            <w:pPr>
              <w:tabs>
                <w:tab w:val="clear" w:pos="426"/>
              </w:tabs>
              <w:adjustRightInd/>
              <w:snapToGrid/>
              <w:spacing w:line="240" w:lineRule="exact"/>
              <w:rPr>
                <w:highlight w:val="none"/>
              </w:rPr>
            </w:pPr>
            <w:r>
              <w:rPr>
                <w:rFonts w:hint="eastAsia"/>
                <w:highlight w:val="none"/>
              </w:rPr>
              <w:t>质疑文件受理之日（当日不计）起</w:t>
            </w:r>
            <w:r>
              <w:rPr>
                <w:highlight w:val="none"/>
              </w:rPr>
              <w:t>7</w:t>
            </w:r>
            <w:r>
              <w:rPr>
                <w:rFonts w:hint="eastAsia"/>
                <w:highlight w:val="none"/>
              </w:rPr>
              <w:t>个工作日内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rFonts w:hint="eastAsia"/>
                <w:highlight w:val="none"/>
              </w:rPr>
              <w:t>采购代理</w:t>
            </w:r>
            <w:r>
              <w:rPr>
                <w:highlight w:val="none"/>
              </w:rPr>
              <w:t>服务费</w:t>
            </w:r>
          </w:p>
        </w:tc>
        <w:tc>
          <w:tcPr>
            <w:tcW w:w="3610" w:type="pct"/>
            <w:vAlign w:val="center"/>
          </w:tcPr>
          <w:p>
            <w:pPr>
              <w:tabs>
                <w:tab w:val="clear" w:pos="426"/>
              </w:tabs>
              <w:spacing w:line="240" w:lineRule="exact"/>
              <w:rPr>
                <w:highlight w:val="none"/>
              </w:rPr>
            </w:pPr>
            <w:r>
              <w:rPr>
                <w:rFonts w:hint="eastAsia"/>
                <w:highlight w:val="none"/>
              </w:rPr>
              <w:t>（1）计算基数：中标金额。计算方法：采购代理机构以招标文件规定的计算基数，依据《深圳市财政委员会关于规范深圳市社会采购代理机构管理有关事项的补充通知》（深财购〔</w:t>
            </w:r>
            <w:r>
              <w:rPr>
                <w:highlight w:val="none"/>
              </w:rPr>
              <w:t>2018〕27号）规定的招标代理服务费收费办法，按差额定率累进法计算</w:t>
            </w:r>
            <w:r>
              <w:rPr>
                <w:rFonts w:hint="eastAsia"/>
                <w:highlight w:val="none"/>
              </w:rPr>
              <w:t>。</w:t>
            </w:r>
          </w:p>
          <w:p>
            <w:pPr>
              <w:tabs>
                <w:tab w:val="clear" w:pos="426"/>
              </w:tabs>
              <w:spacing w:line="240" w:lineRule="exact"/>
              <w:rPr>
                <w:highlight w:val="none"/>
              </w:rPr>
            </w:pPr>
            <w:r>
              <w:rPr>
                <w:rFonts w:hint="eastAsia"/>
                <w:highlight w:val="none"/>
              </w:rPr>
              <w:t>（2）支付人：</w:t>
            </w:r>
            <w:r>
              <w:rPr>
                <w:highlight w:val="none"/>
              </w:rPr>
              <w:t>■</w:t>
            </w:r>
            <w:r>
              <w:rPr>
                <w:rFonts w:hint="eastAsia"/>
                <w:highlight w:val="none"/>
              </w:rPr>
              <w:t>中标人。</w:t>
            </w:r>
          </w:p>
          <w:p>
            <w:pPr>
              <w:tabs>
                <w:tab w:val="clear" w:pos="426"/>
              </w:tabs>
              <w:spacing w:line="240" w:lineRule="exact"/>
              <w:rPr>
                <w:highlight w:val="none"/>
              </w:rPr>
            </w:pPr>
            <w:r>
              <w:rPr>
                <w:rFonts w:hint="eastAsia"/>
                <w:highlight w:val="none"/>
              </w:rPr>
              <w:t>（3）支付方式：银行转账。</w:t>
            </w:r>
          </w:p>
          <w:p>
            <w:pPr>
              <w:tabs>
                <w:tab w:val="clear" w:pos="426"/>
              </w:tabs>
              <w:spacing w:line="240" w:lineRule="exact"/>
              <w:rPr>
                <w:highlight w:val="none"/>
              </w:rPr>
            </w:pPr>
            <w:r>
              <w:rPr>
                <w:rFonts w:hint="eastAsia"/>
                <w:highlight w:val="none"/>
              </w:rPr>
              <w:t>（4）收款账户信息如下：</w:t>
            </w:r>
          </w:p>
          <w:p>
            <w:pPr>
              <w:tabs>
                <w:tab w:val="clear" w:pos="426"/>
              </w:tabs>
              <w:spacing w:line="240" w:lineRule="exact"/>
              <w:rPr>
                <w:highlight w:val="none"/>
              </w:rPr>
            </w:pPr>
            <w:r>
              <w:rPr>
                <w:rFonts w:hint="eastAsia"/>
                <w:highlight w:val="none"/>
              </w:rPr>
              <w:t>户名：深圳市深水水务咨询有限公司</w:t>
            </w:r>
          </w:p>
          <w:p>
            <w:pPr>
              <w:tabs>
                <w:tab w:val="clear" w:pos="426"/>
              </w:tabs>
              <w:spacing w:line="240" w:lineRule="exact"/>
              <w:rPr>
                <w:highlight w:val="none"/>
              </w:rPr>
            </w:pPr>
            <w:r>
              <w:rPr>
                <w:rFonts w:hint="eastAsia"/>
                <w:highlight w:val="none"/>
              </w:rPr>
              <w:t>账号：</w:t>
            </w:r>
            <w:r>
              <w:rPr>
                <w:highlight w:val="none"/>
              </w:rPr>
              <w:t>443899991010003343618</w:t>
            </w:r>
          </w:p>
          <w:p>
            <w:pPr>
              <w:tabs>
                <w:tab w:val="clear" w:pos="426"/>
              </w:tabs>
              <w:spacing w:line="240" w:lineRule="exact"/>
              <w:rPr>
                <w:highlight w:val="none"/>
              </w:rPr>
            </w:pPr>
            <w:r>
              <w:rPr>
                <w:rFonts w:hint="eastAsia"/>
                <w:highlight w:val="none"/>
              </w:rPr>
              <w:t>开户行：交通银行深圳金叶支行</w:t>
            </w:r>
          </w:p>
          <w:p>
            <w:pPr>
              <w:tabs>
                <w:tab w:val="clear" w:pos="426"/>
              </w:tabs>
              <w:adjustRightInd/>
              <w:snapToGrid/>
              <w:spacing w:line="240" w:lineRule="exact"/>
              <w:rPr>
                <w:highlight w:val="none"/>
              </w:rPr>
            </w:pPr>
            <w:r>
              <w:rPr>
                <w:rFonts w:hint="eastAsia"/>
                <w:highlight w:val="none"/>
              </w:rPr>
              <w:t>（5）发票联系人：</w:t>
            </w:r>
            <w:r>
              <w:rPr>
                <w:rFonts w:hint="eastAsia"/>
                <w:highlight w:val="none"/>
                <w:lang w:val="en-US" w:eastAsia="zh-CN"/>
              </w:rPr>
              <w:t xml:space="preserve">刘工 </w:t>
            </w:r>
            <w:r>
              <w:rPr>
                <w:highlight w:val="none"/>
              </w:rPr>
              <w:t>0755-25163491</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rFonts w:hint="eastAsia"/>
                <w:bCs/>
                <w:szCs w:val="21"/>
                <w:highlight w:val="none"/>
              </w:rPr>
              <w:t>谈判应答保证金</w:t>
            </w:r>
          </w:p>
        </w:tc>
        <w:tc>
          <w:tcPr>
            <w:tcW w:w="3610" w:type="pct"/>
            <w:vAlign w:val="center"/>
          </w:tcPr>
          <w:p>
            <w:pPr>
              <w:tabs>
                <w:tab w:val="clear" w:pos="426"/>
              </w:tabs>
              <w:adjustRightInd/>
              <w:snapToGrid/>
              <w:spacing w:line="240" w:lineRule="auto"/>
              <w:rPr>
                <w:szCs w:val="21"/>
                <w:highlight w:val="none"/>
              </w:rPr>
            </w:pPr>
            <w:r>
              <w:rPr>
                <w:rFonts w:hint="eastAsia"/>
                <w:szCs w:val="21"/>
                <w:highlight w:val="none"/>
              </w:rPr>
              <w:t>■不提交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highlight w:val="none"/>
              </w:rPr>
              <w:t>谈判应答有效期</w:t>
            </w:r>
          </w:p>
        </w:tc>
        <w:tc>
          <w:tcPr>
            <w:tcW w:w="3610" w:type="pct"/>
            <w:vAlign w:val="center"/>
          </w:tcPr>
          <w:p>
            <w:pPr>
              <w:tabs>
                <w:tab w:val="clear" w:pos="426"/>
              </w:tabs>
              <w:adjustRightInd/>
              <w:snapToGrid/>
              <w:spacing w:line="240" w:lineRule="exact"/>
              <w:rPr>
                <w:highlight w:val="none"/>
              </w:rPr>
            </w:pPr>
            <w:r>
              <w:rPr>
                <w:rFonts w:hint="eastAsia"/>
                <w:highlight w:val="none"/>
              </w:rPr>
              <w:t>90</w:t>
            </w:r>
            <w:r>
              <w:rPr>
                <w:highlight w:val="none"/>
              </w:rPr>
              <w:t>日历天（</w:t>
            </w:r>
            <w:r>
              <w:rPr>
                <w:rFonts w:hint="eastAsia"/>
                <w:highlight w:val="none"/>
              </w:rPr>
              <w:t>从谈判应答截止之日算起</w:t>
            </w:r>
            <w:r>
              <w:rPr>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rFonts w:hint="eastAsia"/>
                <w:highlight w:val="none"/>
              </w:rPr>
              <w:t>替代方案</w:t>
            </w:r>
          </w:p>
        </w:tc>
        <w:tc>
          <w:tcPr>
            <w:tcW w:w="3610" w:type="pct"/>
            <w:vAlign w:val="center"/>
          </w:tcPr>
          <w:p>
            <w:pPr>
              <w:tabs>
                <w:tab w:val="clear" w:pos="426"/>
              </w:tabs>
              <w:adjustRightInd/>
              <w:snapToGrid/>
              <w:spacing w:line="240" w:lineRule="exact"/>
              <w:rPr>
                <w:highlight w:val="none"/>
              </w:rPr>
            </w:pPr>
            <w:r>
              <w:rPr>
                <w:rFonts w:hint="eastAsia"/>
                <w:highlight w:val="none"/>
              </w:rPr>
              <w:t>■不允许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rFonts w:hint="eastAsia"/>
                <w:highlight w:val="none"/>
              </w:rPr>
              <w:t>评定分离</w:t>
            </w:r>
          </w:p>
        </w:tc>
        <w:tc>
          <w:tcPr>
            <w:tcW w:w="3610" w:type="pct"/>
            <w:vAlign w:val="center"/>
          </w:tcPr>
          <w:p>
            <w:pPr>
              <w:tabs>
                <w:tab w:val="clear" w:pos="426"/>
              </w:tabs>
              <w:adjustRightInd/>
              <w:snapToGrid/>
              <w:spacing w:line="240" w:lineRule="exact"/>
              <w:rPr>
                <w:highlight w:val="none"/>
              </w:rPr>
            </w:pPr>
            <w:r>
              <w:rPr>
                <w:highlight w:val="none"/>
              </w:rPr>
              <w:t>■</w:t>
            </w:r>
            <w:r>
              <w:rPr>
                <w:rFonts w:hint="eastAsia"/>
                <w:highlight w:val="none"/>
              </w:rPr>
              <w:t>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highlight w:val="none"/>
              </w:rPr>
              <w:t>谈判</w:t>
            </w:r>
            <w:r>
              <w:rPr>
                <w:rFonts w:hint="eastAsia"/>
                <w:highlight w:val="none"/>
              </w:rPr>
              <w:t>方</w:t>
            </w:r>
            <w:r>
              <w:rPr>
                <w:highlight w:val="none"/>
              </w:rPr>
              <w:t>法</w:t>
            </w:r>
          </w:p>
        </w:tc>
        <w:tc>
          <w:tcPr>
            <w:tcW w:w="3610" w:type="pct"/>
            <w:vAlign w:val="center"/>
          </w:tcPr>
          <w:p>
            <w:pPr>
              <w:tabs>
                <w:tab w:val="clear" w:pos="426"/>
              </w:tabs>
              <w:adjustRightInd/>
              <w:snapToGrid/>
              <w:spacing w:line="240" w:lineRule="exact"/>
              <w:rPr>
                <w:color w:val="000000"/>
                <w:szCs w:val="21"/>
                <w:highlight w:val="none"/>
              </w:rPr>
            </w:pPr>
            <w:r>
              <w:rPr>
                <w:rFonts w:hint="eastAsia"/>
                <w:highlight w:val="none"/>
              </w:rPr>
              <w:t>■</w:t>
            </w:r>
            <w:r>
              <w:rPr>
                <w:rFonts w:hint="eastAsia"/>
                <w:color w:val="000000"/>
                <w:szCs w:val="21"/>
                <w:highlight w:val="none"/>
              </w:rPr>
              <w:t>最低评标价法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rFonts w:hint="eastAsia"/>
                <w:highlight w:val="none"/>
              </w:rPr>
              <w:t>定</w:t>
            </w:r>
            <w:r>
              <w:rPr>
                <w:highlight w:val="none"/>
              </w:rPr>
              <w:t>标</w:t>
            </w:r>
            <w:r>
              <w:rPr>
                <w:rFonts w:hint="eastAsia"/>
                <w:highlight w:val="none"/>
              </w:rPr>
              <w:t>方</w:t>
            </w:r>
            <w:r>
              <w:rPr>
                <w:highlight w:val="none"/>
              </w:rPr>
              <w:t>法</w:t>
            </w:r>
          </w:p>
        </w:tc>
        <w:tc>
          <w:tcPr>
            <w:tcW w:w="3610" w:type="pct"/>
            <w:vAlign w:val="center"/>
          </w:tcPr>
          <w:p>
            <w:pPr>
              <w:tabs>
                <w:tab w:val="clear" w:pos="426"/>
              </w:tabs>
              <w:adjustRightInd/>
              <w:snapToGrid/>
              <w:spacing w:line="240" w:lineRule="exact"/>
              <w:rPr>
                <w:color w:val="000000"/>
                <w:szCs w:val="21"/>
                <w:highlight w:val="none"/>
              </w:rPr>
            </w:pPr>
            <w:r>
              <w:rPr>
                <w:rFonts w:hint="eastAsia"/>
                <w:color w:val="000000"/>
                <w:szCs w:val="21"/>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highlight w:val="none"/>
              </w:rPr>
              <w:t>履约保证金</w:t>
            </w:r>
          </w:p>
        </w:tc>
        <w:tc>
          <w:tcPr>
            <w:tcW w:w="3610" w:type="pct"/>
            <w:vAlign w:val="center"/>
          </w:tcPr>
          <w:p>
            <w:pPr>
              <w:tabs>
                <w:tab w:val="clear" w:pos="426"/>
              </w:tabs>
              <w:adjustRightInd/>
              <w:snapToGrid/>
              <w:spacing w:line="240" w:lineRule="exact"/>
              <w:rPr>
                <w:highlight w:val="none"/>
              </w:rPr>
            </w:pPr>
            <w:r>
              <w:rPr>
                <w:rFonts w:hint="eastAsia"/>
                <w:szCs w:val="21"/>
                <w:highlight w:val="none"/>
              </w:rPr>
              <w:t>■不提交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highlight w:val="none"/>
              </w:rPr>
              <w:t>谈判应答文件份数</w:t>
            </w:r>
          </w:p>
        </w:tc>
        <w:tc>
          <w:tcPr>
            <w:tcW w:w="3610" w:type="pct"/>
            <w:vAlign w:val="center"/>
          </w:tcPr>
          <w:p>
            <w:pPr>
              <w:tabs>
                <w:tab w:val="clear" w:pos="426"/>
              </w:tabs>
              <w:adjustRightInd/>
              <w:snapToGrid/>
              <w:spacing w:line="240" w:lineRule="exact"/>
              <w:rPr>
                <w:highlight w:val="none"/>
              </w:rPr>
            </w:pPr>
            <w:r>
              <w:rPr>
                <w:rFonts w:hint="eastAsia"/>
                <w:highlight w:val="none"/>
              </w:rPr>
              <w:t>（1）谈判初始报价信封一份，放在密封包外面单独密封；</w:t>
            </w:r>
          </w:p>
          <w:p>
            <w:pPr>
              <w:tabs>
                <w:tab w:val="clear" w:pos="426"/>
              </w:tabs>
              <w:adjustRightInd/>
              <w:snapToGrid/>
              <w:spacing w:line="240" w:lineRule="exact"/>
              <w:rPr>
                <w:highlight w:val="none"/>
              </w:rPr>
            </w:pPr>
            <w:r>
              <w:rPr>
                <w:rFonts w:hint="eastAsia"/>
                <w:highlight w:val="none"/>
              </w:rPr>
              <w:t>（2）纸质谈判应答文件（每个包）</w:t>
            </w:r>
            <w:r>
              <w:rPr>
                <w:highlight w:val="none"/>
                <w:u w:val="single"/>
              </w:rPr>
              <w:t>一</w:t>
            </w:r>
            <w:r>
              <w:rPr>
                <w:highlight w:val="none"/>
              </w:rPr>
              <w:t>正本，</w:t>
            </w:r>
            <w:r>
              <w:rPr>
                <w:highlight w:val="none"/>
                <w:u w:val="single"/>
              </w:rPr>
              <w:t>四</w:t>
            </w:r>
            <w:r>
              <w:rPr>
                <w:highlight w:val="none"/>
              </w:rPr>
              <w:t>副本</w:t>
            </w:r>
            <w:r>
              <w:rPr>
                <w:rFonts w:hint="eastAsia"/>
                <w:highlight w:val="none"/>
              </w:rPr>
              <w:t>，建议胶装，每个包分别单独密封在外密封包里，共2个密封包。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rFonts w:hint="eastAsia"/>
                <w:highlight w:val="none"/>
              </w:rPr>
              <w:t>谈判应答文件电子版</w:t>
            </w:r>
          </w:p>
        </w:tc>
        <w:tc>
          <w:tcPr>
            <w:tcW w:w="3610" w:type="pct"/>
            <w:vAlign w:val="center"/>
          </w:tcPr>
          <w:p>
            <w:pPr>
              <w:tabs>
                <w:tab w:val="clear" w:pos="426"/>
              </w:tabs>
              <w:adjustRightInd/>
              <w:snapToGrid/>
              <w:spacing w:line="240" w:lineRule="exact"/>
              <w:rPr>
                <w:highlight w:val="none"/>
              </w:rPr>
            </w:pPr>
            <w:r>
              <w:rPr>
                <w:rFonts w:hint="eastAsia"/>
                <w:highlight w:val="none"/>
              </w:rPr>
              <w:t>电子光盘一张（谈判应答文件正本盖章后的彩色扫描件，</w:t>
            </w:r>
            <w:r>
              <w:rPr>
                <w:highlight w:val="none"/>
              </w:rPr>
              <w:t>PDF格式）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92" w:type="pct"/>
            <w:vAlign w:val="center"/>
          </w:tcPr>
          <w:p>
            <w:pPr>
              <w:widowControl w:val="0"/>
              <w:numPr>
                <w:ilvl w:val="0"/>
                <w:numId w:val="23"/>
              </w:numPr>
              <w:shd w:val="clear" w:color="auto" w:fill="auto"/>
              <w:tabs>
                <w:tab w:val="clear" w:pos="426"/>
              </w:tabs>
              <w:adjustRightInd/>
              <w:snapToGrid/>
              <w:spacing w:line="240" w:lineRule="exact"/>
              <w:jc w:val="center"/>
              <w:rPr>
                <w:rFonts w:ascii="Times New Roman" w:hAnsi="Times New Roman" w:cs="Times New Roman"/>
                <w:kern w:val="2"/>
                <w:sz w:val="24"/>
                <w:highlight w:val="none"/>
              </w:rPr>
            </w:pPr>
          </w:p>
        </w:tc>
        <w:tc>
          <w:tcPr>
            <w:tcW w:w="998" w:type="pct"/>
            <w:vAlign w:val="center"/>
          </w:tcPr>
          <w:p>
            <w:pPr>
              <w:tabs>
                <w:tab w:val="clear" w:pos="426"/>
              </w:tabs>
              <w:adjustRightInd/>
              <w:snapToGrid/>
              <w:spacing w:line="240" w:lineRule="exact"/>
              <w:rPr>
                <w:highlight w:val="none"/>
              </w:rPr>
            </w:pPr>
            <w:r>
              <w:rPr>
                <w:rFonts w:hint="eastAsia"/>
                <w:highlight w:val="none"/>
              </w:rPr>
              <w:t>预算限额</w:t>
            </w:r>
          </w:p>
        </w:tc>
        <w:tc>
          <w:tcPr>
            <w:tcW w:w="3610" w:type="pct"/>
            <w:vAlign w:val="center"/>
          </w:tcPr>
          <w:p>
            <w:pPr>
              <w:tabs>
                <w:tab w:val="clear" w:pos="426"/>
              </w:tabs>
              <w:adjustRightInd/>
              <w:snapToGrid/>
              <w:spacing w:line="240" w:lineRule="exact"/>
              <w:rPr>
                <w:color w:val="FF0000"/>
                <w:highlight w:val="none"/>
              </w:rPr>
            </w:pPr>
            <w:r>
              <w:rPr>
                <w:rFonts w:hint="eastAsia"/>
                <w:b/>
                <w:highlight w:val="none"/>
              </w:rPr>
              <w:t>金额：</w:t>
            </w:r>
            <w:r>
              <w:rPr>
                <w:rFonts w:hint="eastAsia"/>
                <w:b/>
                <w:highlight w:val="none"/>
                <w:u w:val="single"/>
              </w:rPr>
              <w:t>人民币_</w:t>
            </w:r>
            <w:r>
              <w:rPr>
                <w:rFonts w:hint="eastAsia"/>
                <w:b/>
                <w:highlight w:val="none"/>
                <w:u w:val="single"/>
                <w:lang w:val="en-US" w:eastAsia="zh-CN"/>
              </w:rPr>
              <w:t>叁拾壹万壹仟叁佰</w:t>
            </w:r>
            <w:r>
              <w:rPr>
                <w:rFonts w:hint="eastAsia"/>
                <w:b/>
                <w:highlight w:val="none"/>
                <w:u w:val="single"/>
              </w:rPr>
              <w:t>元整</w:t>
            </w:r>
            <w:r>
              <w:rPr>
                <w:b/>
                <w:highlight w:val="none"/>
                <w:u w:val="single"/>
              </w:rPr>
              <w:t>（</w:t>
            </w:r>
            <w:r>
              <w:rPr>
                <w:rFonts w:hint="eastAsia" w:eastAsia="微软雅黑"/>
                <w:b/>
                <w:highlight w:val="none"/>
                <w:u w:val="single"/>
              </w:rPr>
              <w:t>¥</w:t>
            </w:r>
            <w:r>
              <w:rPr>
                <w:rFonts w:hint="eastAsia" w:eastAsia="微软雅黑"/>
                <w:b/>
                <w:highlight w:val="none"/>
                <w:u w:val="single"/>
                <w:lang w:val="en-US" w:eastAsia="zh-CN"/>
              </w:rPr>
              <w:t>311300</w:t>
            </w:r>
            <w:r>
              <w:rPr>
                <w:rFonts w:hint="eastAsia"/>
                <w:b/>
                <w:highlight w:val="none"/>
                <w:u w:val="single"/>
              </w:rPr>
              <w:t>.00元</w:t>
            </w:r>
            <w:r>
              <w:rPr>
                <w:b/>
                <w:highlight w:val="none"/>
                <w:u w:val="single"/>
              </w:rPr>
              <w:t>）</w:t>
            </w:r>
            <w:r>
              <w:rPr>
                <w:rFonts w:hint="eastAsia"/>
                <w:b/>
                <w:highlight w:val="none"/>
                <w:u w:val="single"/>
              </w:rPr>
              <w:t>，</w:t>
            </w:r>
            <w:r>
              <w:rPr>
                <w:rFonts w:hint="eastAsia"/>
                <w:highlight w:val="none"/>
              </w:rPr>
              <w:t>分项预算限额详见服务清单一览表，超出预算金额或分项预算限额的投标文件将导致投标无效。</w:t>
            </w:r>
          </w:p>
        </w:tc>
      </w:tr>
    </w:tbl>
    <w:p>
      <w:pPr>
        <w:tabs>
          <w:tab w:val="clear" w:pos="426"/>
        </w:tabs>
        <w:rPr>
          <w:strike/>
          <w:highlight w:val="none"/>
        </w:rPr>
      </w:pPr>
    </w:p>
    <w:p>
      <w:pPr>
        <w:pStyle w:val="33"/>
        <w:tabs>
          <w:tab w:val="clear" w:pos="426"/>
        </w:tabs>
        <w:rPr>
          <w:highlight w:val="none"/>
        </w:rPr>
        <w:sectPr>
          <w:headerReference r:id="rId7" w:type="first"/>
          <w:footerReference r:id="rId9" w:type="first"/>
          <w:headerReference r:id="rId6" w:type="default"/>
          <w:footerReference r:id="rId8" w:type="default"/>
          <w:pgSz w:w="11906" w:h="16838"/>
          <w:pgMar w:top="1440" w:right="1797" w:bottom="1440" w:left="1797" w:header="851" w:footer="992" w:gutter="0"/>
          <w:pgNumType w:start="1"/>
          <w:cols w:space="425" w:num="1"/>
          <w:titlePg/>
          <w:docGrid w:linePitch="462" w:charSpace="0"/>
        </w:sectPr>
      </w:pPr>
      <w:bookmarkStart w:id="11" w:name="_Toc432592814"/>
    </w:p>
    <w:bookmarkEnd w:id="11"/>
    <w:p>
      <w:pPr>
        <w:pStyle w:val="33"/>
        <w:tabs>
          <w:tab w:val="clear" w:pos="426"/>
        </w:tabs>
        <w:rPr>
          <w:highlight w:val="none"/>
        </w:rPr>
      </w:pPr>
      <w:bookmarkStart w:id="12" w:name="_Toc1949"/>
      <w:bookmarkStart w:id="13" w:name="_Toc432592816"/>
      <w:bookmarkStart w:id="14" w:name="_Toc398220525"/>
      <w:r>
        <w:rPr>
          <w:rFonts w:hint="eastAsia"/>
          <w:highlight w:val="none"/>
        </w:rPr>
        <w:t xml:space="preserve">第三章 </w:t>
      </w:r>
      <w:r>
        <w:rPr>
          <w:highlight w:val="none"/>
        </w:rPr>
        <w:t>项目</w:t>
      </w:r>
      <w:r>
        <w:rPr>
          <w:rFonts w:hint="eastAsia"/>
          <w:highlight w:val="none"/>
        </w:rPr>
        <w:t>需求</w:t>
      </w:r>
      <w:bookmarkEnd w:id="12"/>
    </w:p>
    <w:p>
      <w:pPr>
        <w:adjustRightInd/>
        <w:snapToGrid/>
        <w:spacing w:before="280" w:after="290" w:line="377" w:lineRule="auto"/>
        <w:ind w:left="420"/>
        <w:jc w:val="center"/>
        <w:outlineLvl w:val="2"/>
        <w:rPr>
          <w:b/>
          <w:sz w:val="24"/>
          <w:highlight w:val="none"/>
        </w:rPr>
      </w:pPr>
      <w:r>
        <w:rPr>
          <w:rFonts w:hint="eastAsia"/>
          <w:b/>
          <w:sz w:val="24"/>
          <w:highlight w:val="none"/>
        </w:rPr>
        <w:t>车辆租赁服务项目</w:t>
      </w:r>
    </w:p>
    <w:bookmarkEnd w:id="13"/>
    <w:bookmarkEnd w:id="14"/>
    <w:p>
      <w:pPr>
        <w:numPr>
          <w:ilvl w:val="0"/>
          <w:numId w:val="24"/>
        </w:numPr>
        <w:adjustRightInd/>
        <w:snapToGrid/>
        <w:spacing w:before="280" w:after="290" w:line="377" w:lineRule="auto"/>
        <w:outlineLvl w:val="2"/>
        <w:rPr>
          <w:b/>
          <w:sz w:val="24"/>
          <w:highlight w:val="none"/>
        </w:rPr>
      </w:pPr>
      <w:r>
        <w:rPr>
          <w:rFonts w:hint="eastAsia"/>
          <w:b/>
          <w:sz w:val="24"/>
          <w:highlight w:val="none"/>
        </w:rPr>
        <w:t>服务</w:t>
      </w:r>
      <w:r>
        <w:rPr>
          <w:b/>
          <w:sz w:val="24"/>
          <w:highlight w:val="none"/>
        </w:rPr>
        <w:t>清单</w:t>
      </w:r>
      <w:r>
        <w:rPr>
          <w:rFonts w:hint="eastAsia"/>
          <w:b/>
          <w:sz w:val="24"/>
          <w:highlight w:val="none"/>
        </w:rPr>
        <w:t>一览表</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3833"/>
        <w:gridCol w:w="1007"/>
        <w:gridCol w:w="1007"/>
        <w:gridCol w:w="1009"/>
        <w:gridCol w:w="1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9" w:type="pct"/>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序号</w:t>
            </w:r>
          </w:p>
        </w:tc>
        <w:tc>
          <w:tcPr>
            <w:tcW w:w="2003" w:type="pct"/>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货物名称</w:t>
            </w:r>
          </w:p>
        </w:tc>
        <w:tc>
          <w:tcPr>
            <w:tcW w:w="526" w:type="pct"/>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数量</w:t>
            </w:r>
          </w:p>
        </w:tc>
        <w:tc>
          <w:tcPr>
            <w:tcW w:w="526" w:type="pct"/>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单位</w:t>
            </w:r>
          </w:p>
        </w:tc>
        <w:tc>
          <w:tcPr>
            <w:tcW w:w="527" w:type="pct"/>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备注</w:t>
            </w:r>
          </w:p>
        </w:tc>
        <w:tc>
          <w:tcPr>
            <w:tcW w:w="1029" w:type="pct"/>
            <w:vAlign w:val="center"/>
          </w:tcPr>
          <w:p>
            <w:pPr>
              <w:widowControl w:val="0"/>
              <w:shd w:val="clear" w:color="auto" w:fill="auto"/>
              <w:tabs>
                <w:tab w:val="clear" w:pos="426"/>
              </w:tabs>
              <w:adjustRightInd/>
              <w:snapToGrid/>
              <w:spacing w:line="240" w:lineRule="auto"/>
              <w:jc w:val="center"/>
              <w:rPr>
                <w:rFonts w:cs="Times New Roman"/>
                <w:b/>
                <w:bCs/>
                <w:szCs w:val="21"/>
                <w:highlight w:val="none"/>
              </w:rPr>
            </w:pPr>
            <w:r>
              <w:rPr>
                <w:rFonts w:cs="Times New Roman"/>
                <w:b/>
                <w:bCs/>
                <w:szCs w:val="21"/>
                <w:highlight w:val="none"/>
              </w:rPr>
              <w:t>预算限额(元)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9" w:type="pct"/>
            <w:vAlign w:val="center"/>
          </w:tcPr>
          <w:p>
            <w:pPr>
              <w:tabs>
                <w:tab w:val="clear" w:pos="426"/>
              </w:tabs>
              <w:spacing w:line="240" w:lineRule="auto"/>
              <w:jc w:val="center"/>
              <w:rPr>
                <w:bCs/>
                <w:szCs w:val="21"/>
                <w:highlight w:val="none"/>
              </w:rPr>
            </w:pPr>
            <w:r>
              <w:rPr>
                <w:rFonts w:hint="eastAsia"/>
                <w:bCs/>
                <w:szCs w:val="21"/>
                <w:highlight w:val="none"/>
              </w:rPr>
              <w:t>1</w:t>
            </w:r>
          </w:p>
        </w:tc>
        <w:tc>
          <w:tcPr>
            <w:tcW w:w="2003" w:type="pct"/>
            <w:vAlign w:val="center"/>
          </w:tcPr>
          <w:p>
            <w:pPr>
              <w:tabs>
                <w:tab w:val="clear" w:pos="426"/>
              </w:tabs>
              <w:spacing w:line="240" w:lineRule="auto"/>
              <w:jc w:val="center"/>
              <w:rPr>
                <w:bCs/>
                <w:szCs w:val="21"/>
                <w:highlight w:val="none"/>
              </w:rPr>
            </w:pPr>
            <w:r>
              <w:rPr>
                <w:rFonts w:hint="eastAsia"/>
                <w:szCs w:val="21"/>
                <w:highlight w:val="none"/>
              </w:rPr>
              <w:t>车辆租赁服务项目</w:t>
            </w:r>
          </w:p>
        </w:tc>
        <w:tc>
          <w:tcPr>
            <w:tcW w:w="526" w:type="pct"/>
            <w:vAlign w:val="center"/>
          </w:tcPr>
          <w:p>
            <w:pPr>
              <w:tabs>
                <w:tab w:val="clear" w:pos="426"/>
              </w:tabs>
              <w:spacing w:line="240" w:lineRule="auto"/>
              <w:jc w:val="center"/>
              <w:rPr>
                <w:bCs/>
                <w:szCs w:val="21"/>
                <w:highlight w:val="none"/>
              </w:rPr>
            </w:pPr>
            <w:r>
              <w:rPr>
                <w:rFonts w:hint="eastAsia"/>
                <w:bCs/>
                <w:szCs w:val="21"/>
                <w:highlight w:val="none"/>
              </w:rPr>
              <w:t>1</w:t>
            </w:r>
          </w:p>
        </w:tc>
        <w:tc>
          <w:tcPr>
            <w:tcW w:w="526" w:type="pct"/>
            <w:vAlign w:val="center"/>
          </w:tcPr>
          <w:p>
            <w:pPr>
              <w:tabs>
                <w:tab w:val="clear" w:pos="426"/>
              </w:tabs>
              <w:spacing w:line="240" w:lineRule="auto"/>
              <w:jc w:val="center"/>
              <w:rPr>
                <w:bCs/>
                <w:szCs w:val="21"/>
                <w:highlight w:val="none"/>
              </w:rPr>
            </w:pPr>
            <w:r>
              <w:rPr>
                <w:rFonts w:hint="eastAsia"/>
                <w:szCs w:val="21"/>
                <w:highlight w:val="none"/>
              </w:rPr>
              <w:t>项</w:t>
            </w:r>
          </w:p>
        </w:tc>
        <w:tc>
          <w:tcPr>
            <w:tcW w:w="527" w:type="pct"/>
            <w:vAlign w:val="center"/>
          </w:tcPr>
          <w:p>
            <w:pPr>
              <w:tabs>
                <w:tab w:val="clear" w:pos="426"/>
              </w:tabs>
              <w:spacing w:line="240" w:lineRule="auto"/>
              <w:jc w:val="center"/>
              <w:rPr>
                <w:bCs/>
                <w:szCs w:val="21"/>
                <w:highlight w:val="none"/>
              </w:rPr>
            </w:pPr>
            <w:r>
              <w:rPr>
                <w:rFonts w:hint="eastAsia"/>
                <w:szCs w:val="21"/>
                <w:highlight w:val="none"/>
              </w:rPr>
              <w:t>/</w:t>
            </w:r>
          </w:p>
        </w:tc>
        <w:tc>
          <w:tcPr>
            <w:tcW w:w="1029" w:type="pct"/>
            <w:vAlign w:val="center"/>
          </w:tcPr>
          <w:p>
            <w:pPr>
              <w:widowControl w:val="0"/>
              <w:shd w:val="clear" w:color="auto" w:fill="auto"/>
              <w:tabs>
                <w:tab w:val="clear" w:pos="426"/>
              </w:tabs>
              <w:adjustRightInd/>
              <w:snapToGrid/>
              <w:spacing w:line="240" w:lineRule="auto"/>
              <w:jc w:val="center"/>
              <w:rPr>
                <w:rFonts w:cs="Times New Roman"/>
                <w:szCs w:val="21"/>
                <w:highlight w:val="none"/>
              </w:rPr>
            </w:pPr>
            <w:r>
              <w:rPr>
                <w:rFonts w:hint="eastAsia" w:cs="Times New Roman"/>
                <w:szCs w:val="21"/>
                <w:highlight w:val="none"/>
              </w:rPr>
              <w:t>311</w:t>
            </w:r>
            <w:r>
              <w:rPr>
                <w:rFonts w:cs="Times New Roman"/>
                <w:szCs w:val="21"/>
                <w:highlight w:val="none"/>
              </w:rPr>
              <w:t>,</w:t>
            </w:r>
            <w:r>
              <w:rPr>
                <w:rFonts w:hint="eastAsia" w:cs="Times New Roman"/>
                <w:szCs w:val="21"/>
                <w:highlight w:val="none"/>
              </w:rPr>
              <w:t>3</w:t>
            </w:r>
            <w:r>
              <w:rPr>
                <w:rFonts w:cs="Times New Roman"/>
                <w:szCs w:val="21"/>
                <w:highlight w:val="none"/>
              </w:rPr>
              <w:t>00.00</w:t>
            </w:r>
          </w:p>
        </w:tc>
      </w:tr>
    </w:tbl>
    <w:p>
      <w:pPr>
        <w:numPr>
          <w:ilvl w:val="0"/>
          <w:numId w:val="24"/>
        </w:numPr>
        <w:adjustRightInd/>
        <w:snapToGrid/>
        <w:spacing w:before="280" w:after="290" w:line="377" w:lineRule="auto"/>
        <w:outlineLvl w:val="2"/>
        <w:rPr>
          <w:b/>
          <w:sz w:val="24"/>
          <w:highlight w:val="none"/>
        </w:rPr>
      </w:pPr>
      <w:r>
        <w:rPr>
          <w:rFonts w:hint="eastAsia"/>
          <w:b/>
          <w:sz w:val="24"/>
          <w:highlight w:val="none"/>
        </w:rPr>
        <w:t>实质性响应条款</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267"/>
        <w:gridCol w:w="6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3" w:type="pct"/>
            <w:vAlign w:val="center"/>
          </w:tcPr>
          <w:p>
            <w:pPr>
              <w:tabs>
                <w:tab w:val="clear" w:pos="426"/>
              </w:tabs>
              <w:spacing w:line="240" w:lineRule="auto"/>
              <w:jc w:val="center"/>
              <w:rPr>
                <w:b/>
                <w:bCs/>
                <w:szCs w:val="21"/>
                <w:highlight w:val="none"/>
              </w:rPr>
            </w:pPr>
            <w:r>
              <w:rPr>
                <w:rFonts w:hint="eastAsia"/>
                <w:b/>
                <w:bCs/>
                <w:szCs w:val="21"/>
                <w:highlight w:val="none"/>
              </w:rPr>
              <w:t>序号</w:t>
            </w:r>
          </w:p>
        </w:tc>
        <w:tc>
          <w:tcPr>
            <w:tcW w:w="1184" w:type="pct"/>
            <w:vAlign w:val="center"/>
          </w:tcPr>
          <w:p>
            <w:pPr>
              <w:tabs>
                <w:tab w:val="clear" w:pos="426"/>
              </w:tabs>
              <w:spacing w:line="240" w:lineRule="auto"/>
              <w:jc w:val="center"/>
              <w:rPr>
                <w:b/>
                <w:bCs/>
                <w:szCs w:val="21"/>
                <w:highlight w:val="none"/>
              </w:rPr>
            </w:pPr>
            <w:r>
              <w:rPr>
                <w:rFonts w:hint="eastAsia"/>
                <w:b/>
                <w:bCs/>
                <w:szCs w:val="21"/>
                <w:highlight w:val="none"/>
              </w:rPr>
              <w:t>目录</w:t>
            </w:r>
          </w:p>
        </w:tc>
        <w:tc>
          <w:tcPr>
            <w:tcW w:w="3462" w:type="pct"/>
            <w:vAlign w:val="center"/>
          </w:tcPr>
          <w:p>
            <w:pPr>
              <w:tabs>
                <w:tab w:val="clear" w:pos="426"/>
              </w:tabs>
              <w:spacing w:line="240" w:lineRule="auto"/>
              <w:jc w:val="center"/>
              <w:rPr>
                <w:b/>
                <w:bCs/>
                <w:szCs w:val="21"/>
                <w:highlight w:val="none"/>
              </w:rPr>
            </w:pPr>
            <w:r>
              <w:rPr>
                <w:rFonts w:hint="eastAsia"/>
                <w:b/>
                <w:bCs/>
                <w:szCs w:val="21"/>
                <w:highlight w:val="none"/>
              </w:rPr>
              <w:t>实质性响应条款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3" w:type="pct"/>
            <w:vAlign w:val="center"/>
          </w:tcPr>
          <w:p>
            <w:pPr>
              <w:widowControl w:val="0"/>
              <w:numPr>
                <w:ilvl w:val="0"/>
                <w:numId w:val="25"/>
              </w:numPr>
              <w:shd w:val="clear" w:color="auto" w:fill="auto"/>
              <w:tabs>
                <w:tab w:val="clear" w:pos="426"/>
              </w:tabs>
              <w:adjustRightInd/>
              <w:snapToGrid/>
              <w:spacing w:line="240" w:lineRule="auto"/>
              <w:jc w:val="center"/>
              <w:rPr>
                <w:rFonts w:ascii="Times New Roman" w:hAnsi="Times New Roman" w:cs="Times New Roman"/>
                <w:kern w:val="2"/>
                <w:sz w:val="24"/>
                <w:szCs w:val="21"/>
                <w:highlight w:val="none"/>
              </w:rPr>
            </w:pPr>
          </w:p>
        </w:tc>
        <w:tc>
          <w:tcPr>
            <w:tcW w:w="1184" w:type="pct"/>
            <w:vAlign w:val="center"/>
          </w:tcPr>
          <w:p>
            <w:pPr>
              <w:tabs>
                <w:tab w:val="clear" w:pos="426"/>
              </w:tabs>
              <w:spacing w:line="240" w:lineRule="auto"/>
              <w:jc w:val="left"/>
              <w:rPr>
                <w:szCs w:val="21"/>
                <w:highlight w:val="none"/>
              </w:rPr>
            </w:pPr>
            <w:r>
              <w:rPr>
                <w:rFonts w:hint="eastAsia"/>
                <w:szCs w:val="21"/>
                <w:highlight w:val="none"/>
              </w:rPr>
              <w:t>资格、符合性评审条款</w:t>
            </w:r>
          </w:p>
        </w:tc>
        <w:tc>
          <w:tcPr>
            <w:tcW w:w="3462" w:type="pct"/>
            <w:vAlign w:val="center"/>
          </w:tcPr>
          <w:p>
            <w:pPr>
              <w:tabs>
                <w:tab w:val="clear" w:pos="426"/>
              </w:tabs>
              <w:spacing w:line="240" w:lineRule="auto"/>
              <w:jc w:val="left"/>
              <w:rPr>
                <w:szCs w:val="21"/>
                <w:highlight w:val="none"/>
              </w:rPr>
            </w:pPr>
            <w:r>
              <w:rPr>
                <w:rFonts w:hint="eastAsia"/>
                <w:szCs w:val="21"/>
                <w:highlight w:val="none"/>
              </w:rPr>
              <w:t>凡出现《资格性审查表》及《符合性审查表》中情形之一的，将导致谈判应答无效。以评审现场结论为准。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3" w:type="pct"/>
            <w:vAlign w:val="center"/>
          </w:tcPr>
          <w:p>
            <w:pPr>
              <w:widowControl w:val="0"/>
              <w:numPr>
                <w:ilvl w:val="0"/>
                <w:numId w:val="25"/>
              </w:numPr>
              <w:shd w:val="clear" w:color="auto" w:fill="auto"/>
              <w:tabs>
                <w:tab w:val="clear" w:pos="426"/>
              </w:tabs>
              <w:adjustRightInd/>
              <w:snapToGrid/>
              <w:spacing w:line="240" w:lineRule="auto"/>
              <w:jc w:val="center"/>
              <w:rPr>
                <w:rFonts w:ascii="Times New Roman" w:hAnsi="Times New Roman" w:cs="Times New Roman"/>
                <w:kern w:val="2"/>
                <w:sz w:val="24"/>
                <w:szCs w:val="21"/>
                <w:highlight w:val="none"/>
              </w:rPr>
            </w:pPr>
          </w:p>
        </w:tc>
        <w:tc>
          <w:tcPr>
            <w:tcW w:w="1184" w:type="pct"/>
            <w:vAlign w:val="center"/>
          </w:tcPr>
          <w:p>
            <w:pPr>
              <w:tabs>
                <w:tab w:val="clear" w:pos="426"/>
              </w:tabs>
              <w:spacing w:line="240" w:lineRule="auto"/>
              <w:jc w:val="left"/>
              <w:rPr>
                <w:szCs w:val="21"/>
                <w:highlight w:val="none"/>
              </w:rPr>
            </w:pPr>
            <w:r>
              <w:rPr>
                <w:rFonts w:hint="eastAsia"/>
                <w:szCs w:val="21"/>
                <w:highlight w:val="none"/>
              </w:rPr>
              <w:t>服务期</w:t>
            </w:r>
          </w:p>
        </w:tc>
        <w:tc>
          <w:tcPr>
            <w:tcW w:w="3462" w:type="pct"/>
            <w:vAlign w:val="center"/>
          </w:tcPr>
          <w:p>
            <w:pPr>
              <w:tabs>
                <w:tab w:val="clear" w:pos="426"/>
              </w:tabs>
              <w:spacing w:line="240" w:lineRule="auto"/>
              <w:jc w:val="left"/>
              <w:rPr>
                <w:szCs w:val="21"/>
                <w:highlight w:val="none"/>
              </w:rPr>
            </w:pPr>
            <w:r>
              <w:rPr>
                <w:rFonts w:hint="eastAsia"/>
                <w:szCs w:val="21"/>
                <w:highlight w:val="none"/>
              </w:rPr>
              <w:t>合同签订</w:t>
            </w:r>
            <w:r>
              <w:rPr>
                <w:szCs w:val="21"/>
                <w:highlight w:val="none"/>
              </w:rPr>
              <w:t>1年，到期后，根据服务质量情况甲方可与</w:t>
            </w:r>
            <w:r>
              <w:rPr>
                <w:rFonts w:hint="eastAsia"/>
                <w:szCs w:val="21"/>
                <w:highlight w:val="none"/>
                <w:lang w:val="en-US" w:eastAsia="zh-CN"/>
              </w:rPr>
              <w:t>成交</w:t>
            </w:r>
            <w:r>
              <w:rPr>
                <w:szCs w:val="21"/>
                <w:highlight w:val="none"/>
              </w:rPr>
              <w:t>人续签1年。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3" w:type="pct"/>
            <w:vAlign w:val="center"/>
          </w:tcPr>
          <w:p>
            <w:pPr>
              <w:widowControl w:val="0"/>
              <w:numPr>
                <w:ilvl w:val="0"/>
                <w:numId w:val="25"/>
              </w:numPr>
              <w:shd w:val="clear" w:color="auto" w:fill="auto"/>
              <w:tabs>
                <w:tab w:val="clear" w:pos="426"/>
              </w:tabs>
              <w:adjustRightInd/>
              <w:snapToGrid/>
              <w:spacing w:line="240" w:lineRule="auto"/>
              <w:jc w:val="center"/>
              <w:rPr>
                <w:rFonts w:ascii="Times New Roman" w:hAnsi="Times New Roman" w:cs="Times New Roman"/>
                <w:kern w:val="2"/>
                <w:sz w:val="24"/>
                <w:szCs w:val="21"/>
                <w:highlight w:val="none"/>
              </w:rPr>
            </w:pPr>
          </w:p>
        </w:tc>
        <w:tc>
          <w:tcPr>
            <w:tcW w:w="1184" w:type="pct"/>
            <w:vAlign w:val="center"/>
          </w:tcPr>
          <w:p>
            <w:pPr>
              <w:tabs>
                <w:tab w:val="clear" w:pos="426"/>
              </w:tabs>
              <w:spacing w:line="240" w:lineRule="auto"/>
              <w:jc w:val="left"/>
              <w:rPr>
                <w:szCs w:val="21"/>
                <w:highlight w:val="none"/>
              </w:rPr>
            </w:pPr>
            <w:r>
              <w:rPr>
                <w:rFonts w:hint="eastAsia"/>
                <w:szCs w:val="21"/>
                <w:highlight w:val="none"/>
              </w:rPr>
              <w:t>实质性技术要求</w:t>
            </w:r>
          </w:p>
        </w:tc>
        <w:tc>
          <w:tcPr>
            <w:tcW w:w="3462" w:type="pct"/>
            <w:vAlign w:val="center"/>
          </w:tcPr>
          <w:p>
            <w:pPr>
              <w:tabs>
                <w:tab w:val="clear" w:pos="426"/>
              </w:tabs>
              <w:spacing w:line="240" w:lineRule="auto"/>
              <w:jc w:val="left"/>
              <w:rPr>
                <w:szCs w:val="21"/>
                <w:highlight w:val="none"/>
              </w:rPr>
            </w:pPr>
            <w:r>
              <w:rPr>
                <w:rFonts w:hint="eastAsia"/>
                <w:szCs w:val="21"/>
                <w:highlight w:val="none"/>
              </w:rPr>
              <w:t>实质性技术要求（以”★”标注）若出现不响应或任何的负偏离，将导致谈判应答无效。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53" w:type="pct"/>
            <w:vAlign w:val="center"/>
          </w:tcPr>
          <w:p>
            <w:pPr>
              <w:widowControl w:val="0"/>
              <w:numPr>
                <w:ilvl w:val="0"/>
                <w:numId w:val="25"/>
              </w:numPr>
              <w:shd w:val="clear" w:color="auto" w:fill="auto"/>
              <w:tabs>
                <w:tab w:val="clear" w:pos="426"/>
              </w:tabs>
              <w:adjustRightInd/>
              <w:snapToGrid/>
              <w:spacing w:line="240" w:lineRule="auto"/>
              <w:jc w:val="center"/>
              <w:rPr>
                <w:rFonts w:ascii="Times New Roman" w:hAnsi="Times New Roman" w:cs="Times New Roman"/>
                <w:kern w:val="2"/>
                <w:sz w:val="24"/>
                <w:szCs w:val="21"/>
                <w:highlight w:val="none"/>
              </w:rPr>
            </w:pPr>
          </w:p>
        </w:tc>
        <w:tc>
          <w:tcPr>
            <w:tcW w:w="1184" w:type="pct"/>
            <w:vAlign w:val="center"/>
          </w:tcPr>
          <w:p>
            <w:pPr>
              <w:tabs>
                <w:tab w:val="clear" w:pos="426"/>
              </w:tabs>
              <w:spacing w:line="240" w:lineRule="auto"/>
              <w:jc w:val="left"/>
              <w:rPr>
                <w:szCs w:val="21"/>
                <w:highlight w:val="none"/>
              </w:rPr>
            </w:pPr>
            <w:r>
              <w:rPr>
                <w:rFonts w:hint="eastAsia"/>
                <w:szCs w:val="21"/>
                <w:highlight w:val="none"/>
              </w:rPr>
              <w:t>实质性商务要求</w:t>
            </w:r>
          </w:p>
        </w:tc>
        <w:tc>
          <w:tcPr>
            <w:tcW w:w="3462" w:type="pct"/>
            <w:vAlign w:val="center"/>
          </w:tcPr>
          <w:p>
            <w:pPr>
              <w:tabs>
                <w:tab w:val="clear" w:pos="426"/>
              </w:tabs>
              <w:spacing w:line="240" w:lineRule="auto"/>
              <w:jc w:val="left"/>
              <w:rPr>
                <w:szCs w:val="21"/>
                <w:highlight w:val="none"/>
              </w:rPr>
            </w:pPr>
            <w:r>
              <w:rPr>
                <w:rFonts w:hint="eastAsia"/>
                <w:szCs w:val="21"/>
                <w:highlight w:val="none"/>
              </w:rPr>
              <w:t>实质性商务要求（以”★”标注）若出现不响应或任何的负偏离，将导致谈判应答无效。</w:t>
            </w:r>
          </w:p>
        </w:tc>
      </w:tr>
    </w:tbl>
    <w:p>
      <w:pPr>
        <w:tabs>
          <w:tab w:val="clear" w:pos="426"/>
        </w:tabs>
        <w:ind w:left="424" w:leftChars="202"/>
        <w:rPr>
          <w:b/>
          <w:szCs w:val="21"/>
          <w:highlight w:val="none"/>
        </w:rPr>
      </w:pPr>
      <w:r>
        <w:rPr>
          <w:rFonts w:hint="eastAsia"/>
          <w:b/>
          <w:szCs w:val="21"/>
          <w:highlight w:val="none"/>
        </w:rPr>
        <w:t>备注：</w:t>
      </w:r>
    </w:p>
    <w:p>
      <w:pPr>
        <w:widowControl w:val="0"/>
        <w:shd w:val="clear" w:color="auto" w:fill="auto"/>
        <w:tabs>
          <w:tab w:val="clear" w:pos="426"/>
        </w:tabs>
        <w:adjustRightInd/>
        <w:snapToGrid/>
        <w:spacing w:beforeLines="50" w:line="300" w:lineRule="auto"/>
        <w:ind w:firstLine="426" w:firstLineChars="202"/>
        <w:rPr>
          <w:rFonts w:cs="Times New Roman"/>
          <w:kern w:val="2"/>
          <w:szCs w:val="21"/>
          <w:highlight w:val="none"/>
        </w:rPr>
      </w:pPr>
      <w:r>
        <w:rPr>
          <w:b/>
          <w:szCs w:val="21"/>
          <w:highlight w:val="none"/>
        </w:rPr>
        <w:t>1.上表所列内容为不可负偏离条款，如</w:t>
      </w:r>
      <w:r>
        <w:rPr>
          <w:rFonts w:hint="eastAsia"/>
          <w:b/>
          <w:szCs w:val="21"/>
          <w:highlight w:val="none"/>
        </w:rPr>
        <w:t>谈判应答供应商</w:t>
      </w:r>
      <w:r>
        <w:rPr>
          <w:b/>
          <w:szCs w:val="21"/>
          <w:highlight w:val="none"/>
        </w:rPr>
        <w:t>该部分内容出现负偏离或未对该部分内容进行响应，将按照符合性检查表作无效谈判应答处理。</w:t>
      </w:r>
    </w:p>
    <w:p>
      <w:pPr>
        <w:numPr>
          <w:ilvl w:val="0"/>
          <w:numId w:val="24"/>
        </w:numPr>
        <w:adjustRightInd/>
        <w:snapToGrid/>
        <w:spacing w:before="280" w:after="290" w:line="377" w:lineRule="auto"/>
        <w:outlineLvl w:val="2"/>
        <w:rPr>
          <w:b/>
          <w:sz w:val="24"/>
          <w:highlight w:val="none"/>
        </w:rPr>
      </w:pPr>
      <w:r>
        <w:rPr>
          <w:rFonts w:hint="eastAsia"/>
          <w:b/>
          <w:sz w:val="24"/>
          <w:highlight w:val="none"/>
        </w:rPr>
        <w:t>服务需求</w:t>
      </w:r>
    </w:p>
    <w:p>
      <w:pPr>
        <w:widowControl w:val="0"/>
        <w:shd w:val="clear" w:color="auto" w:fill="auto"/>
        <w:tabs>
          <w:tab w:val="clear" w:pos="426"/>
        </w:tabs>
        <w:spacing w:beforeLines="50" w:line="300" w:lineRule="auto"/>
        <w:ind w:firstLine="422" w:firstLineChars="200"/>
        <w:rPr>
          <w:rFonts w:cs="Times New Roman"/>
          <w:b/>
          <w:kern w:val="2"/>
          <w:szCs w:val="21"/>
          <w:highlight w:val="none"/>
        </w:rPr>
      </w:pPr>
      <w:r>
        <w:rPr>
          <w:rFonts w:hint="eastAsia" w:cs="Times New Roman"/>
          <w:b/>
          <w:kern w:val="2"/>
          <w:szCs w:val="21"/>
          <w:highlight w:val="none"/>
        </w:rPr>
        <w:t>1</w:t>
      </w:r>
      <w:r>
        <w:rPr>
          <w:rFonts w:cs="Times New Roman"/>
          <w:b/>
          <w:kern w:val="2"/>
          <w:szCs w:val="21"/>
          <w:highlight w:val="none"/>
        </w:rPr>
        <w:t>.路线规划：</w:t>
      </w:r>
    </w:p>
    <w:tbl>
      <w:tblPr>
        <w:tblStyle w:val="44"/>
        <w:tblW w:w="9513" w:type="dxa"/>
        <w:tblInd w:w="93" w:type="dxa"/>
        <w:tblLayout w:type="autofit"/>
        <w:tblCellMar>
          <w:top w:w="0" w:type="dxa"/>
          <w:left w:w="108" w:type="dxa"/>
          <w:bottom w:w="0" w:type="dxa"/>
          <w:right w:w="108" w:type="dxa"/>
        </w:tblCellMar>
      </w:tblPr>
      <w:tblGrid>
        <w:gridCol w:w="820"/>
        <w:gridCol w:w="4384"/>
        <w:gridCol w:w="2891"/>
        <w:gridCol w:w="1418"/>
      </w:tblGrid>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序号</w:t>
            </w:r>
          </w:p>
        </w:tc>
        <w:tc>
          <w:tcPr>
            <w:tcW w:w="4384" w:type="dxa"/>
            <w:tcBorders>
              <w:top w:val="single" w:color="auto" w:sz="4" w:space="0"/>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路线</w:t>
            </w:r>
          </w:p>
        </w:tc>
        <w:tc>
          <w:tcPr>
            <w:tcW w:w="2891" w:type="dxa"/>
            <w:tcBorders>
              <w:top w:val="single" w:color="auto" w:sz="4" w:space="0"/>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车型</w:t>
            </w:r>
          </w:p>
        </w:tc>
        <w:tc>
          <w:tcPr>
            <w:tcW w:w="1418" w:type="dxa"/>
            <w:tcBorders>
              <w:top w:val="single" w:color="auto" w:sz="4" w:space="0"/>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数量</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深圳龙华-广州海珠、广州南站方向</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30</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深圳龙华-广州花都</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深圳龙华-惠州惠城、陈江方向</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6</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深圳龙华-清远大帽山</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5</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深圳龙华-汕尾捷胜</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6</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深圳龙华-陆丰南塘</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7</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深圳龙华-河源连平</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8</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深圳龙华牛地铺-深圳北站</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10</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9</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深圳龙华牛地铺-宝安机场</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6</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10</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深圳龙华-广西柳州</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11</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深圳龙华-广西贵港</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12</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东莞黄江-广州海珠、南站方向</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25</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13</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东莞黄江-广州花都</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14</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东莞黄江-惠州惠城、陈江方向</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4</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15</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东莞黄江-清远</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16</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东莞黄江-汕尾捷胜</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17</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东莞黄江-陆丰南塘</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18</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东莞黄江-河源连平</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19</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东莞黄江-深圳北站</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10</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20</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东莞黄江-宝安机场</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6</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21</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东莞黄江-广西柳州</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22</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汕尾捷胜-广州海珠</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10</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23</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汕尾捷胜-广州花都</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24</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汕尾捷胜-惠州惠城、陈江方向</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8</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25</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汕尾捷胜-清远</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1</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26</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汕尾捷胜-河源连平</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27</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汕尾捷胜-宝安机场</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28</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汕尾捷胜-潮汕机场</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29</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汕尾捷胜-广西柳州</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30</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陆丰南塘-广州海珠</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3</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31</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陆丰南塘-广州花都</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32</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陆丰南塘-惠州惠城、陈江方向</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33</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陆丰南塘-清远</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34</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陆丰南塘-河源连平</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35</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陆丰南塘-宝安机场</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36</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陆丰南塘-潮汕机场</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37</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陆丰南塘-广西柳州</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r>
    </w:tbl>
    <w:p>
      <w:pPr>
        <w:widowControl w:val="0"/>
        <w:shd w:val="clear" w:color="auto" w:fill="auto"/>
        <w:tabs>
          <w:tab w:val="clear" w:pos="426"/>
        </w:tabs>
        <w:spacing w:beforeLines="50" w:line="300" w:lineRule="auto"/>
        <w:ind w:firstLine="420" w:firstLineChars="200"/>
        <w:rPr>
          <w:rFonts w:hint="eastAsia" w:cs="Times New Roman"/>
          <w:kern w:val="2"/>
          <w:szCs w:val="21"/>
          <w:highlight w:val="none"/>
        </w:rPr>
      </w:pPr>
      <w:r>
        <w:rPr>
          <w:rFonts w:hint="eastAsia" w:cs="Times New Roman"/>
          <w:kern w:val="2"/>
          <w:szCs w:val="21"/>
          <w:highlight w:val="none"/>
        </w:rPr>
        <w:t>备注：1.路线价格应为上述使用</w:t>
      </w:r>
      <w:r>
        <w:rPr>
          <w:rFonts w:cs="Times New Roman"/>
          <w:kern w:val="2"/>
          <w:szCs w:val="21"/>
          <w:highlight w:val="none"/>
        </w:rPr>
        <w:t>路线</w:t>
      </w:r>
      <w:r>
        <w:rPr>
          <w:rFonts w:hint="eastAsia" w:cs="Times New Roman"/>
          <w:kern w:val="2"/>
          <w:szCs w:val="21"/>
          <w:highlight w:val="none"/>
        </w:rPr>
        <w:t>之间的单程价格；</w:t>
      </w:r>
      <w:r>
        <w:rPr>
          <w:rFonts w:hint="eastAsia" w:cs="Times New Roman"/>
          <w:kern w:val="2"/>
          <w:szCs w:val="21"/>
          <w:highlight w:val="none"/>
          <w:lang w:eastAsia="zh-CN"/>
        </w:rPr>
        <w:t>除对</w:t>
      </w:r>
      <w:r>
        <w:rPr>
          <w:rFonts w:hint="eastAsia" w:cs="Times New Roman"/>
          <w:kern w:val="2"/>
          <w:szCs w:val="21"/>
          <w:highlight w:val="none"/>
        </w:rPr>
        <w:t>49座大巴车车型</w:t>
      </w:r>
      <w:r>
        <w:rPr>
          <w:rFonts w:hint="eastAsia" w:cs="Times New Roman"/>
          <w:kern w:val="2"/>
          <w:szCs w:val="21"/>
          <w:highlight w:val="none"/>
          <w:lang w:eastAsia="zh-CN"/>
        </w:rPr>
        <w:t>按照固定路线</w:t>
      </w:r>
      <w:r>
        <w:rPr>
          <w:rFonts w:hint="eastAsia" w:cs="Times New Roman"/>
          <w:kern w:val="2"/>
          <w:szCs w:val="21"/>
          <w:highlight w:val="none"/>
        </w:rPr>
        <w:t>进行报价</w:t>
      </w:r>
      <w:r>
        <w:rPr>
          <w:rFonts w:hint="eastAsia" w:cs="Times New Roman"/>
          <w:kern w:val="2"/>
          <w:szCs w:val="21"/>
          <w:highlight w:val="none"/>
          <w:lang w:eastAsia="zh-CN"/>
        </w:rPr>
        <w:t>外</w:t>
      </w:r>
      <w:r>
        <w:rPr>
          <w:rFonts w:hint="eastAsia" w:cs="Times New Roman"/>
          <w:kern w:val="2"/>
          <w:szCs w:val="21"/>
          <w:highlight w:val="none"/>
        </w:rPr>
        <w:t>，</w:t>
      </w:r>
      <w:r>
        <w:rPr>
          <w:rFonts w:hint="eastAsia" w:cs="Times New Roman"/>
          <w:kern w:val="2"/>
          <w:szCs w:val="21"/>
          <w:highlight w:val="none"/>
          <w:lang w:eastAsia="zh-CN"/>
        </w:rPr>
        <w:t>还需提供一份每公里各种车型报价单，应包含</w:t>
      </w:r>
      <w:r>
        <w:rPr>
          <w:rFonts w:hint="default" w:cs="Times New Roman"/>
          <w:kern w:val="2"/>
          <w:szCs w:val="21"/>
          <w:highlight w:val="none"/>
          <w:lang w:val="en-US" w:eastAsia="zh-CN"/>
        </w:rPr>
        <w:t>5</w:t>
      </w:r>
      <w:r>
        <w:rPr>
          <w:rFonts w:hint="eastAsia" w:cs="Times New Roman"/>
          <w:kern w:val="2"/>
          <w:szCs w:val="21"/>
          <w:highlight w:val="none"/>
          <w:lang w:val="en-US" w:eastAsia="zh-CN"/>
        </w:rPr>
        <w:t>座</w:t>
      </w:r>
      <w:r>
        <w:rPr>
          <w:rFonts w:hint="default" w:cs="Times New Roman"/>
          <w:kern w:val="2"/>
          <w:szCs w:val="21"/>
          <w:highlight w:val="none"/>
          <w:lang w:val="en-US" w:eastAsia="zh-CN"/>
        </w:rPr>
        <w:t>(</w:t>
      </w:r>
      <w:r>
        <w:rPr>
          <w:rFonts w:hint="eastAsia" w:cs="Times New Roman"/>
          <w:kern w:val="2"/>
          <w:szCs w:val="21"/>
          <w:highlight w:val="none"/>
          <w:lang w:val="en-US" w:eastAsia="zh-CN"/>
        </w:rPr>
        <w:t>含</w:t>
      </w:r>
      <w:r>
        <w:rPr>
          <w:rFonts w:hint="default" w:cs="Times New Roman"/>
          <w:kern w:val="2"/>
          <w:szCs w:val="21"/>
          <w:highlight w:val="none"/>
          <w:lang w:val="en-US" w:eastAsia="zh-CN"/>
        </w:rPr>
        <w:t>)</w:t>
      </w:r>
      <w:r>
        <w:rPr>
          <w:rFonts w:hint="eastAsia" w:cs="Times New Roman"/>
          <w:kern w:val="2"/>
          <w:szCs w:val="21"/>
          <w:highlight w:val="none"/>
          <w:lang w:val="en-US" w:eastAsia="zh-CN"/>
        </w:rPr>
        <w:t>以上各种车型报价，作为采购人临时用车（除本项目固定路线用车外）时的付费标准</w:t>
      </w:r>
      <w:r>
        <w:rPr>
          <w:rFonts w:cs="Times New Roman"/>
          <w:kern w:val="2"/>
          <w:szCs w:val="21"/>
          <w:highlight w:val="none"/>
        </w:rPr>
        <w:t>。</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2.路线中涉及机场、高铁站的需要投标人安排车辆于前一日22时前到达采购人营区的，采购人会提前明确；路线中涉及广州海珠和惠州惠城方向的，需要使用车辆全天候等待；相关费用请纳入报价中，采购人不再额外支付等候费及押夜费。</w:t>
      </w:r>
    </w:p>
    <w:p>
      <w:pPr>
        <w:widowControl w:val="0"/>
        <w:shd w:val="clear" w:color="auto" w:fill="auto"/>
        <w:tabs>
          <w:tab w:val="clear" w:pos="426"/>
        </w:tabs>
        <w:spacing w:beforeLines="50" w:line="300" w:lineRule="auto"/>
        <w:ind w:firstLine="422" w:firstLineChars="200"/>
        <w:rPr>
          <w:rFonts w:cs="Times New Roman"/>
          <w:b/>
          <w:color w:val="000000"/>
          <w:kern w:val="2"/>
          <w:szCs w:val="21"/>
          <w:highlight w:val="none"/>
        </w:rPr>
      </w:pPr>
      <w:r>
        <w:rPr>
          <w:rFonts w:hint="eastAsia" w:cs="Times New Roman"/>
          <w:b/>
          <w:color w:val="000000"/>
          <w:kern w:val="2"/>
          <w:szCs w:val="21"/>
          <w:highlight w:val="none"/>
        </w:rPr>
        <w:t>2.</w:t>
      </w:r>
      <w:r>
        <w:rPr>
          <w:rFonts w:cs="Times New Roman"/>
          <w:b/>
          <w:color w:val="000000"/>
          <w:kern w:val="2"/>
          <w:szCs w:val="21"/>
          <w:highlight w:val="none"/>
        </w:rPr>
        <w:t>包车费用</w:t>
      </w:r>
    </w:p>
    <w:p>
      <w:pPr>
        <w:widowControl w:val="0"/>
        <w:shd w:val="clear" w:color="auto" w:fill="auto"/>
        <w:tabs>
          <w:tab w:val="clear" w:pos="426"/>
        </w:tabs>
        <w:spacing w:beforeLines="50" w:line="300" w:lineRule="auto"/>
        <w:ind w:firstLine="420" w:firstLineChars="200"/>
        <w:rPr>
          <w:rFonts w:cs="Times New Roman"/>
          <w:color w:val="000000"/>
          <w:kern w:val="2"/>
          <w:szCs w:val="21"/>
          <w:highlight w:val="none"/>
        </w:rPr>
      </w:pPr>
      <w:r>
        <w:rPr>
          <w:rFonts w:hint="eastAsia" w:cs="Times New Roman"/>
          <w:color w:val="000000"/>
          <w:kern w:val="2"/>
          <w:szCs w:val="21"/>
          <w:highlight w:val="none"/>
        </w:rPr>
        <w:t>包车费用包括：</w:t>
      </w:r>
      <w:r>
        <w:rPr>
          <w:rFonts w:hint="eastAsia" w:cs="Times New Roman"/>
          <w:color w:val="000000"/>
          <w:kern w:val="2"/>
          <w:szCs w:val="21"/>
          <w:highlight w:val="none"/>
          <w:lang w:eastAsia="zh-CN"/>
        </w:rPr>
        <w:t>过路费、后撤时间计费、乘坐车辆人员</w:t>
      </w:r>
      <w:r>
        <w:rPr>
          <w:rFonts w:hint="eastAsia" w:cs="Times New Roman"/>
          <w:color w:val="000000"/>
          <w:kern w:val="2"/>
          <w:szCs w:val="21"/>
          <w:highlight w:val="none"/>
        </w:rPr>
        <w:t>保险费、修理费、保养费、养路费、保管费、司机工资、</w:t>
      </w:r>
      <w:r>
        <w:rPr>
          <w:rFonts w:hint="eastAsia" w:cs="Times New Roman"/>
          <w:color w:val="000000"/>
          <w:kern w:val="2"/>
          <w:szCs w:val="21"/>
          <w:highlight w:val="none"/>
          <w:lang w:eastAsia="zh-CN"/>
        </w:rPr>
        <w:t>司机伙食费</w:t>
      </w:r>
      <w:r>
        <w:rPr>
          <w:rFonts w:hint="eastAsia" w:cs="Times New Roman"/>
          <w:color w:val="000000"/>
          <w:kern w:val="2"/>
          <w:szCs w:val="21"/>
          <w:highlight w:val="none"/>
        </w:rPr>
        <w:t>年检费、车船税费、燃油费等费用一概由投标人自行承担，采购方不再支付任何费用。</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中标公司不得以非正当理由要求使用方开具证明用于免除过路（桥）费用。</w:t>
      </w:r>
    </w:p>
    <w:p>
      <w:pPr>
        <w:widowControl w:val="0"/>
        <w:shd w:val="clear" w:color="auto" w:fill="auto"/>
        <w:tabs>
          <w:tab w:val="clear" w:pos="426"/>
        </w:tabs>
        <w:spacing w:beforeLines="50" w:line="300" w:lineRule="auto"/>
        <w:ind w:firstLine="422" w:firstLineChars="200"/>
        <w:rPr>
          <w:rFonts w:cs="Times New Roman"/>
          <w:b/>
          <w:kern w:val="2"/>
          <w:szCs w:val="21"/>
          <w:highlight w:val="none"/>
        </w:rPr>
      </w:pPr>
      <w:r>
        <w:rPr>
          <w:rFonts w:hint="eastAsia" w:cs="Times New Roman"/>
          <w:b/>
          <w:kern w:val="2"/>
          <w:szCs w:val="21"/>
          <w:highlight w:val="none"/>
        </w:rPr>
        <w:t>3.</w:t>
      </w:r>
      <w:r>
        <w:rPr>
          <w:rFonts w:cs="Times New Roman"/>
          <w:b/>
          <w:kern w:val="2"/>
          <w:szCs w:val="21"/>
          <w:highlight w:val="none"/>
        </w:rPr>
        <w:t>服务要求</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3.1</w:t>
      </w:r>
      <w:r>
        <w:rPr>
          <w:rFonts w:cs="Times New Roman"/>
          <w:kern w:val="2"/>
          <w:szCs w:val="21"/>
          <w:highlight w:val="none"/>
        </w:rPr>
        <w:t>投标人</w:t>
      </w:r>
      <w:r>
        <w:rPr>
          <w:rFonts w:hint="eastAsia" w:cs="Times New Roman"/>
          <w:kern w:val="2"/>
          <w:szCs w:val="21"/>
          <w:highlight w:val="none"/>
          <w:lang w:eastAsia="zh-CN"/>
        </w:rPr>
        <w:t>应具备提供</w:t>
      </w:r>
      <w:r>
        <w:rPr>
          <w:rFonts w:hint="default" w:cs="Times New Roman"/>
          <w:kern w:val="2"/>
          <w:szCs w:val="21"/>
          <w:highlight w:val="none"/>
          <w:lang w:val="en-US" w:eastAsia="zh-CN"/>
        </w:rPr>
        <w:t>5</w:t>
      </w:r>
      <w:r>
        <w:rPr>
          <w:rFonts w:hint="eastAsia" w:cs="Times New Roman"/>
          <w:kern w:val="2"/>
          <w:szCs w:val="21"/>
          <w:highlight w:val="none"/>
          <w:lang w:val="en-US" w:eastAsia="zh-CN"/>
        </w:rPr>
        <w:t>座（含）以上各类车型服务的能力，</w:t>
      </w:r>
      <w:r>
        <w:rPr>
          <w:rFonts w:cs="Times New Roman"/>
          <w:kern w:val="2"/>
          <w:szCs w:val="21"/>
          <w:highlight w:val="none"/>
        </w:rPr>
        <w:t>确保对所提供的车辆具有完全的所有权，司机为投标人依法雇佣，并提供车辆登记证原件和司机劳动合同原件与甲方核对。若甲方发现有任何虚假或有任何第三人对投标人提供的车辆或对司机的劳动雇佣关系提出异议，并经查证属实的，甲方有权立即终止本合同而不承担任何责任。</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3.2</w:t>
      </w:r>
      <w:r>
        <w:rPr>
          <w:rFonts w:cs="Times New Roman"/>
          <w:kern w:val="2"/>
          <w:szCs w:val="21"/>
          <w:highlight w:val="none"/>
        </w:rPr>
        <w:t>投标人确保所提供的车辆安全可靠,不存在任何影响安全行驶的质量瑕疵或安全隐患，车辆有环保标志（绿标），道路经营许可证、车内设施（如座椅、空调等）和配置（如安全带、灭火器、安全锤等）完好并符合国家相关要求。甲方发现车辆存在安全隐患，或有其他问题的，甲方有权要求投标人在甲方指定时间内更换合格的并具有完全所有权且已投保（保险金额不得低于服务要求</w:t>
      </w:r>
      <w:r>
        <w:rPr>
          <w:rFonts w:hint="eastAsia" w:cs="Times New Roman"/>
          <w:kern w:val="2"/>
          <w:szCs w:val="21"/>
          <w:highlight w:val="none"/>
        </w:rPr>
        <w:t>3</w:t>
      </w:r>
      <w:r>
        <w:rPr>
          <w:rFonts w:cs="Times New Roman"/>
          <w:kern w:val="2"/>
          <w:szCs w:val="21"/>
          <w:highlight w:val="none"/>
        </w:rPr>
        <w:t>.3之标准）的车辆。若投标人拒绝按甲方要求更换的，甲方有权立即终止本合同而不承担任何责任。</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3.3</w:t>
      </w:r>
      <w:r>
        <w:rPr>
          <w:rFonts w:cs="Times New Roman"/>
          <w:kern w:val="2"/>
          <w:szCs w:val="21"/>
          <w:highlight w:val="none"/>
        </w:rPr>
        <w:t>投标人必须根据国家法律规定，购买齐全的车辆保险，包括但不限于交强险、第三人责任险（保险金额不得低于人民币壹佰万元&gt;、承运人责任险（每座位不得低于人民币捌拾万元），并提供保险单原件给甲方核对及复印件予甲方备查。如遇合同期内保险到期，投标人必须提供同等额度以上的新的有效保险单。若不能提供，甲方有权立即终止合同而不承担任何责任。</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3.4</w:t>
      </w:r>
      <w:r>
        <w:rPr>
          <w:rFonts w:cs="Times New Roman"/>
          <w:kern w:val="2"/>
          <w:szCs w:val="21"/>
          <w:highlight w:val="none"/>
        </w:rPr>
        <w:t>投标人提供有效的车辆行驶证复印件、司机驾驶证和身份证复印件。投标人应在本合同签订后五个工作日内提供上述文件的复印件给甲方，并提供原件予甲方核对。</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3.5</w:t>
      </w:r>
      <w:r>
        <w:rPr>
          <w:rFonts w:cs="Times New Roman"/>
          <w:kern w:val="2"/>
          <w:szCs w:val="21"/>
          <w:highlight w:val="none"/>
        </w:rPr>
        <w:t>投标人在车辆租用期间，要自行妥善维护，保养好车辆，期间造成车辆损毁及相关费用，由投标人自行承担，甲方不承担任何责任。</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3.6</w:t>
      </w:r>
      <w:r>
        <w:rPr>
          <w:rFonts w:cs="Times New Roman"/>
          <w:kern w:val="2"/>
          <w:szCs w:val="21"/>
          <w:highlight w:val="none"/>
        </w:rPr>
        <w:t>投标人提供的驾驶员必须是35-55岁之间、有5年以上大巴驾龄、家庭稳定、无不良行车记录，应做好车辆的日常检查、卫生保洁工作，遵守交通规则，不随意停车、停靠、接听电话，不吸烟，使用礼貌用语，并为使用单位提供出行配套服务。</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3.7</w:t>
      </w:r>
      <w:r>
        <w:rPr>
          <w:rFonts w:cs="Times New Roman"/>
          <w:kern w:val="2"/>
          <w:szCs w:val="21"/>
          <w:highlight w:val="none"/>
        </w:rPr>
        <w:t>投标人负责车辆的定期维修及保养，并符合国家规定的安全环保等要求，采购人有权要求投标人出具定期保养单据的复印件。</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3.8</w:t>
      </w:r>
      <w:r>
        <w:rPr>
          <w:rFonts w:cs="Times New Roman"/>
          <w:kern w:val="2"/>
          <w:szCs w:val="21"/>
          <w:highlight w:val="none"/>
        </w:rPr>
        <w:t>投标人变更车型需至少提前两天与采购人协商。</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3.9</w:t>
      </w:r>
      <w:r>
        <w:rPr>
          <w:rFonts w:cs="Times New Roman"/>
          <w:kern w:val="2"/>
          <w:szCs w:val="21"/>
          <w:highlight w:val="none"/>
        </w:rPr>
        <w:t>采购人认为不合适的驾驶员和车辆，投标人必须无条件更换。</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3.10</w:t>
      </w:r>
      <w:r>
        <w:rPr>
          <w:rFonts w:cs="Times New Roman"/>
          <w:kern w:val="2"/>
          <w:szCs w:val="21"/>
          <w:highlight w:val="none"/>
        </w:rPr>
        <w:t>投标人车辆保持干净卫生，符合旅游车辆的标准，采购人保证其乘车人员不得超过核载人数</w:t>
      </w:r>
      <w:r>
        <w:rPr>
          <w:rFonts w:hint="eastAsia" w:cs="Times New Roman"/>
          <w:kern w:val="2"/>
          <w:szCs w:val="21"/>
          <w:highlight w:val="none"/>
        </w:rPr>
        <w:t>；确保司机及车辆落实地方政府及采购人提供出的疫情防控要求，涉及核酸检测费用及其他防疫物资消耗的由投标人自行承担。</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3.11</w:t>
      </w:r>
      <w:r>
        <w:rPr>
          <w:rFonts w:cs="Times New Roman"/>
          <w:kern w:val="2"/>
          <w:szCs w:val="21"/>
          <w:highlight w:val="none"/>
        </w:rPr>
        <w:t>采购人负责支付车辆租金；其他（如：</w:t>
      </w:r>
      <w:r>
        <w:rPr>
          <w:rFonts w:hint="eastAsia" w:cs="Times New Roman"/>
          <w:kern w:val="2"/>
          <w:szCs w:val="21"/>
          <w:highlight w:val="none"/>
          <w:lang w:eastAsia="zh-CN"/>
        </w:rPr>
        <w:t>过路费、</w:t>
      </w:r>
      <w:r>
        <w:rPr>
          <w:rFonts w:cs="Times New Roman"/>
          <w:kern w:val="2"/>
          <w:szCs w:val="21"/>
          <w:highlight w:val="none"/>
        </w:rPr>
        <w:t>保险费、修理费、保养费、养路费、保管费、司机工资、</w:t>
      </w:r>
      <w:r>
        <w:rPr>
          <w:rFonts w:hint="eastAsia" w:cs="Times New Roman"/>
          <w:kern w:val="2"/>
          <w:szCs w:val="21"/>
          <w:highlight w:val="none"/>
          <w:lang w:eastAsia="zh-CN"/>
        </w:rPr>
        <w:t>司机伙食费、</w:t>
      </w:r>
      <w:r>
        <w:rPr>
          <w:rFonts w:cs="Times New Roman"/>
          <w:kern w:val="2"/>
          <w:szCs w:val="21"/>
          <w:highlight w:val="none"/>
        </w:rPr>
        <w:t>年检费、车船税费、燃油费等费用）一概由投标人自行承担。</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3.12</w:t>
      </w:r>
      <w:r>
        <w:rPr>
          <w:rFonts w:cs="Times New Roman"/>
          <w:kern w:val="2"/>
          <w:szCs w:val="21"/>
          <w:highlight w:val="none"/>
        </w:rPr>
        <w:t>采购人变更车型或行车线路需至少提前二十四小时与投标人协商。</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3.13</w:t>
      </w:r>
      <w:r>
        <w:rPr>
          <w:rFonts w:cs="Times New Roman"/>
          <w:kern w:val="2"/>
          <w:szCs w:val="21"/>
          <w:highlight w:val="none"/>
        </w:rPr>
        <w:t>采购人调整接送时间或取消某一次接送，需至少提前二十四小时通知。</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3.14</w:t>
      </w:r>
      <w:r>
        <w:rPr>
          <w:rFonts w:cs="Times New Roman"/>
          <w:kern w:val="2"/>
          <w:szCs w:val="21"/>
          <w:highlight w:val="none"/>
        </w:rPr>
        <w:t>如果出勤车辆发生抛锚等不可预见的突发状况，中标人必须第一时间调配车辆保障上下勤人员安全、及时的到达目的地。</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3.15</w:t>
      </w:r>
      <w:r>
        <w:rPr>
          <w:rFonts w:cs="Times New Roman"/>
          <w:kern w:val="2"/>
          <w:szCs w:val="21"/>
          <w:highlight w:val="none"/>
        </w:rPr>
        <w:t xml:space="preserve">车龄要求2年内，指定修理厂须具有交通主管部门核发的《道路运输经营许可证》；为车辆提供每日检修及保养记录。 </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3.16采购人提前二十四小时告知用车需求，投标人应根据采购人要求的使用时间组织车辆报到；部分路线涉及新、老兵输送，投标人需配合采购人，于用车前一晚组织车辆报到。</w:t>
      </w:r>
    </w:p>
    <w:p>
      <w:pPr>
        <w:widowControl w:val="0"/>
        <w:shd w:val="clear" w:color="auto" w:fill="auto"/>
        <w:tabs>
          <w:tab w:val="clear" w:pos="426"/>
        </w:tabs>
        <w:spacing w:beforeLines="50" w:line="300" w:lineRule="auto"/>
        <w:ind w:firstLine="422" w:firstLineChars="200"/>
        <w:rPr>
          <w:rFonts w:cs="Times New Roman"/>
          <w:b/>
          <w:kern w:val="2"/>
          <w:szCs w:val="21"/>
          <w:highlight w:val="none"/>
        </w:rPr>
      </w:pPr>
      <w:r>
        <w:rPr>
          <w:rFonts w:hint="eastAsia" w:cs="Times New Roman"/>
          <w:b/>
          <w:kern w:val="2"/>
          <w:szCs w:val="21"/>
          <w:highlight w:val="none"/>
        </w:rPr>
        <w:t>4.</w:t>
      </w:r>
      <w:r>
        <w:rPr>
          <w:rFonts w:cs="Times New Roman"/>
          <w:b/>
          <w:kern w:val="2"/>
          <w:szCs w:val="21"/>
          <w:highlight w:val="none"/>
        </w:rPr>
        <w:t>违约责任</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4.1</w:t>
      </w:r>
      <w:r>
        <w:rPr>
          <w:rFonts w:cs="Times New Roman"/>
          <w:kern w:val="2"/>
          <w:szCs w:val="21"/>
          <w:highlight w:val="none"/>
        </w:rPr>
        <w:t>采购人应按本协议约定向中标人支付车费，逾期一日，采购人按当月应付车费0.003%向中标人支付违约金。逾期30日，中标人有权解除合同，因此造成中标人损失的，采购人应予赔偿。</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4.2</w:t>
      </w:r>
      <w:r>
        <w:rPr>
          <w:rFonts w:cs="Times New Roman"/>
          <w:kern w:val="2"/>
          <w:szCs w:val="21"/>
          <w:highlight w:val="none"/>
        </w:rPr>
        <w:t>中标人应按规定的时间及地点，向采购人提供接送交通车服务，逾期1日，中标人向采购人支付</w:t>
      </w:r>
      <w:r>
        <w:rPr>
          <w:rFonts w:cs="Times New Roman"/>
          <w:kern w:val="2"/>
          <w:szCs w:val="21"/>
          <w:highlight w:val="none"/>
          <w:lang w:val="en-US"/>
        </w:rPr>
        <w:t>1000</w:t>
      </w:r>
      <w:r>
        <w:rPr>
          <w:rFonts w:cs="Times New Roman"/>
          <w:kern w:val="2"/>
          <w:szCs w:val="21"/>
          <w:highlight w:val="none"/>
        </w:rPr>
        <w:t>元违约金，逾期3日，采购人有权解除合同，因此造成采购人损失的，中标人应予赔偿。</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4.3</w:t>
      </w:r>
      <w:r>
        <w:rPr>
          <w:rFonts w:cs="Times New Roman"/>
          <w:kern w:val="2"/>
          <w:szCs w:val="21"/>
          <w:highlight w:val="none"/>
        </w:rPr>
        <w:t>中标人要按约定的时间和地点为采购人提供服务，如果第三次迟到20分钟或以上，每次扣减该车程10%费用。累计迟到</w:t>
      </w:r>
      <w:r>
        <w:rPr>
          <w:rFonts w:cs="Times New Roman"/>
          <w:kern w:val="2"/>
          <w:szCs w:val="21"/>
          <w:highlight w:val="none"/>
          <w:lang w:val="en-US"/>
        </w:rPr>
        <w:t>5</w:t>
      </w:r>
      <w:r>
        <w:rPr>
          <w:rFonts w:cs="Times New Roman"/>
          <w:kern w:val="2"/>
          <w:szCs w:val="21"/>
          <w:highlight w:val="none"/>
        </w:rPr>
        <w:t>次或以上的，采购人有权解除合同，因此造成采购人损失的，中标人应予赔偿。</w:t>
      </w:r>
    </w:p>
    <w:p>
      <w:pPr>
        <w:numPr>
          <w:ilvl w:val="0"/>
          <w:numId w:val="24"/>
        </w:numPr>
        <w:adjustRightInd/>
        <w:snapToGrid/>
        <w:spacing w:before="280" w:after="290" w:line="377" w:lineRule="auto"/>
        <w:outlineLvl w:val="2"/>
        <w:rPr>
          <w:b/>
          <w:sz w:val="24"/>
          <w:highlight w:val="none"/>
        </w:rPr>
      </w:pPr>
      <w:r>
        <w:rPr>
          <w:rFonts w:hint="eastAsia"/>
          <w:b/>
          <w:sz w:val="24"/>
          <w:highlight w:val="none"/>
        </w:rPr>
        <w:t>项目商务要求</w:t>
      </w:r>
    </w:p>
    <w:p>
      <w:pPr>
        <w:widowControl w:val="0"/>
        <w:shd w:val="clear" w:color="auto" w:fill="auto"/>
        <w:tabs>
          <w:tab w:val="clear" w:pos="426"/>
        </w:tabs>
        <w:spacing w:beforeLines="50" w:line="300" w:lineRule="auto"/>
        <w:ind w:firstLine="422" w:firstLineChars="200"/>
        <w:rPr>
          <w:rFonts w:cs="Times New Roman"/>
          <w:b/>
          <w:kern w:val="2"/>
          <w:szCs w:val="21"/>
          <w:highlight w:val="none"/>
        </w:rPr>
      </w:pPr>
      <w:r>
        <w:rPr>
          <w:rFonts w:hint="eastAsia" w:cs="Times New Roman"/>
          <w:b/>
          <w:kern w:val="2"/>
          <w:szCs w:val="21"/>
          <w:highlight w:val="none"/>
        </w:rPr>
        <w:t>1.签定合同日期</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自中标(成交)通知书发出之日起30日内。</w:t>
      </w:r>
    </w:p>
    <w:p>
      <w:pPr>
        <w:widowControl w:val="0"/>
        <w:shd w:val="clear" w:color="auto" w:fill="auto"/>
        <w:tabs>
          <w:tab w:val="clear" w:pos="426"/>
        </w:tabs>
        <w:spacing w:beforeLines="50" w:line="300" w:lineRule="auto"/>
        <w:ind w:firstLine="422" w:firstLineChars="200"/>
        <w:rPr>
          <w:rFonts w:cs="Times New Roman"/>
          <w:b/>
          <w:kern w:val="2"/>
          <w:szCs w:val="21"/>
          <w:highlight w:val="none"/>
        </w:rPr>
      </w:pPr>
      <w:r>
        <w:rPr>
          <w:rFonts w:hint="eastAsia" w:cs="Times New Roman"/>
          <w:b/>
          <w:kern w:val="2"/>
          <w:szCs w:val="21"/>
          <w:highlight w:val="none"/>
        </w:rPr>
        <w:t>2.项目服务期限</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highlight w:val="none"/>
        </w:rPr>
        <w:t>合</w:t>
      </w:r>
      <w:r>
        <w:rPr>
          <w:rFonts w:hint="eastAsia"/>
          <w:highlight w:val="none"/>
          <w:u w:val="none"/>
        </w:rPr>
        <w:t>同签订</w:t>
      </w:r>
      <w:r>
        <w:rPr>
          <w:rFonts w:hint="eastAsia"/>
          <w:highlight w:val="none"/>
          <w:u w:val="none"/>
          <w:lang w:val="en-US" w:eastAsia="zh-CN"/>
        </w:rPr>
        <w:t>之日起</w:t>
      </w:r>
      <w:r>
        <w:rPr>
          <w:highlight w:val="none"/>
          <w:u w:val="none"/>
        </w:rPr>
        <w:t>1年，到期后，根据服务质量情况甲方可与</w:t>
      </w:r>
      <w:r>
        <w:rPr>
          <w:rFonts w:hint="eastAsia"/>
          <w:highlight w:val="none"/>
          <w:u w:val="none"/>
          <w:lang w:val="en-US" w:eastAsia="zh-CN"/>
        </w:rPr>
        <w:t>成交</w:t>
      </w:r>
      <w:r>
        <w:rPr>
          <w:highlight w:val="none"/>
          <w:u w:val="none"/>
        </w:rPr>
        <w:t>人续签1年。</w:t>
      </w:r>
    </w:p>
    <w:p>
      <w:pPr>
        <w:widowControl w:val="0"/>
        <w:shd w:val="clear" w:color="auto" w:fill="auto"/>
        <w:tabs>
          <w:tab w:val="clear" w:pos="426"/>
        </w:tabs>
        <w:spacing w:beforeLines="50" w:line="300" w:lineRule="auto"/>
        <w:ind w:firstLine="422" w:firstLineChars="200"/>
        <w:rPr>
          <w:rFonts w:cs="Times New Roman"/>
          <w:b/>
          <w:kern w:val="2"/>
          <w:szCs w:val="21"/>
          <w:highlight w:val="none"/>
        </w:rPr>
      </w:pPr>
      <w:r>
        <w:rPr>
          <w:rFonts w:hint="eastAsia" w:cs="Times New Roman"/>
          <w:b/>
          <w:kern w:val="2"/>
          <w:szCs w:val="21"/>
          <w:highlight w:val="none"/>
        </w:rPr>
        <w:t>3.付款方式</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按实际用车情况，于每次用车完成后30日内结算费用；部分路线涉及长期固定使用的采取按季度结算方式</w:t>
      </w:r>
      <w:r>
        <w:rPr>
          <w:rFonts w:hint="eastAsia" w:cs="Times New Roman"/>
          <w:kern w:val="2"/>
          <w:szCs w:val="21"/>
          <w:highlight w:val="none"/>
          <w:lang w:eastAsia="zh-CN"/>
        </w:rPr>
        <w:t>，具体结算</w:t>
      </w:r>
      <w:r>
        <w:rPr>
          <w:rFonts w:hint="eastAsia" w:cs="Times New Roman"/>
          <w:kern w:val="2"/>
          <w:szCs w:val="21"/>
          <w:highlight w:val="none"/>
          <w:lang w:val="en-US" w:eastAsia="zh-CN"/>
        </w:rPr>
        <w:t>根据合同约定</w:t>
      </w:r>
      <w:r>
        <w:rPr>
          <w:rFonts w:hint="eastAsia" w:cs="Times New Roman"/>
          <w:kern w:val="2"/>
          <w:szCs w:val="21"/>
          <w:highlight w:val="none"/>
        </w:rPr>
        <w:t>。</w:t>
      </w:r>
    </w:p>
    <w:p>
      <w:pPr>
        <w:widowControl w:val="0"/>
        <w:shd w:val="clear" w:color="auto" w:fill="auto"/>
        <w:tabs>
          <w:tab w:val="clear" w:pos="426"/>
        </w:tabs>
        <w:spacing w:beforeLines="50" w:line="300" w:lineRule="auto"/>
        <w:ind w:firstLine="422" w:firstLineChars="200"/>
        <w:rPr>
          <w:rFonts w:cs="Times New Roman"/>
          <w:b/>
          <w:kern w:val="2"/>
          <w:szCs w:val="21"/>
          <w:highlight w:val="none"/>
        </w:rPr>
      </w:pPr>
      <w:r>
        <w:rPr>
          <w:rFonts w:hint="eastAsia" w:cs="Times New Roman"/>
          <w:b/>
          <w:kern w:val="2"/>
          <w:szCs w:val="21"/>
          <w:highlight w:val="none"/>
        </w:rPr>
        <w:t>4.支付方式</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lang w:val="en-US" w:eastAsia="zh-CN"/>
        </w:rPr>
        <w:t>按中标后签订的合同约定</w:t>
      </w:r>
      <w:r>
        <w:rPr>
          <w:rFonts w:hint="eastAsia" w:cs="Times New Roman"/>
          <w:kern w:val="2"/>
          <w:szCs w:val="21"/>
          <w:highlight w:val="none"/>
        </w:rPr>
        <w:t>。</w:t>
      </w:r>
    </w:p>
    <w:p>
      <w:pPr>
        <w:widowControl w:val="0"/>
        <w:shd w:val="clear" w:color="auto" w:fill="auto"/>
        <w:tabs>
          <w:tab w:val="clear" w:pos="426"/>
        </w:tabs>
        <w:spacing w:beforeLines="50" w:line="300" w:lineRule="auto"/>
        <w:ind w:firstLine="422" w:firstLineChars="200"/>
        <w:rPr>
          <w:rFonts w:cs="Times New Roman"/>
          <w:b/>
          <w:kern w:val="2"/>
          <w:szCs w:val="21"/>
          <w:highlight w:val="none"/>
        </w:rPr>
      </w:pPr>
      <w:r>
        <w:rPr>
          <w:rFonts w:hint="eastAsia" w:cs="Times New Roman"/>
          <w:b/>
          <w:kern w:val="2"/>
          <w:szCs w:val="21"/>
          <w:highlight w:val="none"/>
        </w:rPr>
        <w:t>5.服务地点</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广东省，具体服务点详见合同。</w:t>
      </w:r>
    </w:p>
    <w:p>
      <w:pPr>
        <w:widowControl w:val="0"/>
        <w:shd w:val="clear" w:color="auto" w:fill="auto"/>
        <w:tabs>
          <w:tab w:val="clear" w:pos="426"/>
        </w:tabs>
        <w:spacing w:beforeLines="50" w:line="300" w:lineRule="auto"/>
        <w:ind w:firstLine="422" w:firstLineChars="200"/>
        <w:rPr>
          <w:rFonts w:cs="Times New Roman"/>
          <w:b/>
          <w:kern w:val="2"/>
          <w:szCs w:val="21"/>
          <w:highlight w:val="none"/>
        </w:rPr>
      </w:pPr>
      <w:r>
        <w:rPr>
          <w:rFonts w:hint="eastAsia" w:cs="Times New Roman"/>
          <w:b/>
          <w:kern w:val="2"/>
          <w:szCs w:val="21"/>
          <w:highlight w:val="none"/>
        </w:rPr>
        <w:t>6.售后服务要求</w:t>
      </w:r>
    </w:p>
    <w:p>
      <w:pPr>
        <w:widowControl w:val="0"/>
        <w:shd w:val="clear" w:color="auto" w:fill="auto"/>
        <w:tabs>
          <w:tab w:val="clear" w:pos="426"/>
        </w:tabs>
        <w:spacing w:beforeLines="50" w:line="300" w:lineRule="auto"/>
        <w:ind w:firstLine="420" w:firstLineChars="200"/>
        <w:rPr>
          <w:rFonts w:cs="Times New Roman"/>
          <w:kern w:val="2"/>
          <w:szCs w:val="21"/>
          <w:highlight w:val="none"/>
        </w:rPr>
      </w:pPr>
      <w:r>
        <w:rPr>
          <w:rFonts w:hint="eastAsia" w:cs="Times New Roman"/>
          <w:kern w:val="2"/>
          <w:szCs w:val="21"/>
          <w:highlight w:val="none"/>
        </w:rPr>
        <w:t>详见合同</w:t>
      </w:r>
      <w:r>
        <w:rPr>
          <w:rFonts w:cs="Times New Roman"/>
          <w:kern w:val="2"/>
          <w:szCs w:val="21"/>
          <w:highlight w:val="none"/>
        </w:rPr>
        <w:t>。</w:t>
      </w:r>
    </w:p>
    <w:p>
      <w:pPr>
        <w:widowControl w:val="0"/>
        <w:shd w:val="clear" w:color="auto" w:fill="auto"/>
        <w:tabs>
          <w:tab w:val="clear" w:pos="426"/>
        </w:tabs>
        <w:spacing w:beforeLines="50" w:line="300" w:lineRule="auto"/>
        <w:ind w:firstLine="422" w:firstLineChars="200"/>
        <w:rPr>
          <w:rFonts w:cs="Times New Roman"/>
          <w:b/>
          <w:kern w:val="2"/>
          <w:szCs w:val="21"/>
          <w:highlight w:val="none"/>
        </w:rPr>
      </w:pPr>
      <w:r>
        <w:rPr>
          <w:rFonts w:hint="eastAsia" w:cs="Times New Roman"/>
          <w:b/>
          <w:kern w:val="2"/>
          <w:szCs w:val="21"/>
          <w:highlight w:val="none"/>
        </w:rPr>
        <w:t>★7.其他</w:t>
      </w:r>
    </w:p>
    <w:p>
      <w:pPr>
        <w:widowControl w:val="0"/>
        <w:shd w:val="clear" w:color="auto" w:fill="auto"/>
        <w:tabs>
          <w:tab w:val="clear" w:pos="426"/>
        </w:tabs>
        <w:spacing w:beforeLines="50" w:line="300" w:lineRule="auto"/>
        <w:ind w:firstLine="422" w:firstLineChars="200"/>
        <w:rPr>
          <w:rFonts w:cs="Times New Roman"/>
          <w:kern w:val="2"/>
          <w:szCs w:val="21"/>
          <w:highlight w:val="none"/>
        </w:rPr>
      </w:pPr>
      <w:r>
        <w:rPr>
          <w:rFonts w:hint="eastAsia" w:cs="Times New Roman"/>
          <w:b/>
          <w:kern w:val="2"/>
          <w:szCs w:val="21"/>
          <w:highlight w:val="none"/>
        </w:rPr>
        <w:t>投标人</w:t>
      </w:r>
      <w:r>
        <w:rPr>
          <w:rFonts w:cs="Times New Roman"/>
          <w:b/>
          <w:kern w:val="2"/>
          <w:szCs w:val="21"/>
          <w:highlight w:val="none"/>
        </w:rPr>
        <w:t>必须</w:t>
      </w:r>
      <w:r>
        <w:rPr>
          <w:rFonts w:hint="eastAsia" w:cs="Times New Roman"/>
          <w:b/>
          <w:kern w:val="2"/>
          <w:szCs w:val="21"/>
          <w:highlight w:val="none"/>
        </w:rPr>
        <w:t>与所聘人员签订劳动合同，</w:t>
      </w:r>
      <w:r>
        <w:rPr>
          <w:rFonts w:cs="Times New Roman"/>
          <w:b/>
          <w:kern w:val="2"/>
          <w:szCs w:val="21"/>
          <w:highlight w:val="none"/>
        </w:rPr>
        <w:t>且须为所聘人员缴纳社会保险费。</w:t>
      </w:r>
    </w:p>
    <w:p>
      <w:pPr>
        <w:shd w:val="clear" w:color="auto" w:fill="auto"/>
        <w:tabs>
          <w:tab w:val="clear" w:pos="426"/>
        </w:tabs>
        <w:adjustRightInd/>
        <w:snapToGrid/>
        <w:spacing w:line="240" w:lineRule="auto"/>
        <w:jc w:val="left"/>
        <w:rPr>
          <w:b/>
          <w:sz w:val="24"/>
          <w:highlight w:val="none"/>
        </w:rPr>
      </w:pPr>
      <w:r>
        <w:rPr>
          <w:b/>
          <w:sz w:val="24"/>
          <w:highlight w:val="none"/>
        </w:rPr>
        <w:br w:type="page"/>
      </w:r>
    </w:p>
    <w:p>
      <w:pPr>
        <w:pStyle w:val="33"/>
        <w:tabs>
          <w:tab w:val="clear" w:pos="426"/>
        </w:tabs>
        <w:rPr>
          <w:highlight w:val="none"/>
        </w:rPr>
      </w:pPr>
      <w:bookmarkStart w:id="15" w:name="_Toc26780"/>
      <w:bookmarkStart w:id="16" w:name="_Toc19633764"/>
      <w:r>
        <w:rPr>
          <w:rFonts w:hint="eastAsia"/>
          <w:highlight w:val="none"/>
        </w:rPr>
        <w:t>第四章 政府采购合同的签订、履约及验收</w:t>
      </w:r>
      <w:bookmarkEnd w:id="15"/>
      <w:bookmarkEnd w:id="16"/>
    </w:p>
    <w:p>
      <w:pPr>
        <w:tabs>
          <w:tab w:val="clear" w:pos="426"/>
        </w:tabs>
        <w:jc w:val="center"/>
        <w:rPr>
          <w:b/>
          <w:sz w:val="24"/>
          <w:highlight w:val="none"/>
        </w:rPr>
      </w:pPr>
      <w:bookmarkStart w:id="17" w:name="_Toc432592818"/>
      <w:bookmarkStart w:id="18" w:name="_Toc398220526"/>
      <w:r>
        <w:rPr>
          <w:rFonts w:hint="eastAsia"/>
          <w:b/>
          <w:sz w:val="24"/>
          <w:highlight w:val="none"/>
        </w:rPr>
        <w:t>一、重要提示</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80" w:firstLineChars="200"/>
        <w:rPr>
          <w:rFonts w:cs="Times New Roman"/>
          <w:kern w:val="2"/>
          <w:sz w:val="24"/>
          <w:szCs w:val="24"/>
          <w:highlight w:val="none"/>
        </w:rPr>
      </w:pPr>
      <w:r>
        <w:rPr>
          <w:rFonts w:hint="eastAsia" w:cs="Times New Roman"/>
          <w:kern w:val="2"/>
          <w:sz w:val="24"/>
          <w:szCs w:val="24"/>
          <w:highlight w:val="none"/>
        </w:rPr>
        <w:t>（一）</w:t>
      </w:r>
      <w:r>
        <w:rPr>
          <w:rFonts w:cs="Times New Roman"/>
          <w:kern w:val="2"/>
          <w:sz w:val="24"/>
          <w:szCs w:val="24"/>
          <w:highlight w:val="none"/>
        </w:rPr>
        <w:t>成交人将于成交通知书发出之日起十个工作日内，按照谈判文件和谈判应答文件内容与采购单位签订书面合同，</w:t>
      </w:r>
      <w:r>
        <w:rPr>
          <w:rFonts w:hint="eastAsia" w:cs="Times New Roman"/>
          <w:kern w:val="2"/>
          <w:sz w:val="24"/>
          <w:szCs w:val="24"/>
          <w:highlight w:val="none"/>
        </w:rPr>
        <w:t>合同书可参考本谈判文件规定的合同样本，有专业类别的格式合同范本请选择相应的合同</w:t>
      </w:r>
      <w:r>
        <w:rPr>
          <w:rFonts w:cs="Times New Roman"/>
          <w:kern w:val="2"/>
          <w:sz w:val="24"/>
          <w:szCs w:val="24"/>
          <w:highlight w:val="none"/>
        </w:rPr>
        <w:t>；</w:t>
      </w:r>
    </w:p>
    <w:p>
      <w:pPr>
        <w:widowControl w:val="0"/>
        <w:shd w:val="clear" w:color="auto" w:fill="auto"/>
        <w:tabs>
          <w:tab w:val="clear" w:pos="426"/>
        </w:tabs>
        <w:adjustRightInd/>
        <w:snapToGrid/>
        <w:spacing w:line="240" w:lineRule="auto"/>
        <w:ind w:firstLine="480" w:firstLineChars="200"/>
        <w:rPr>
          <w:rFonts w:cs="Times New Roman"/>
          <w:kern w:val="2"/>
          <w:sz w:val="24"/>
          <w:szCs w:val="24"/>
          <w:highlight w:val="none"/>
        </w:rPr>
      </w:pPr>
      <w:r>
        <w:rPr>
          <w:rFonts w:hint="eastAsia" w:cs="Times New Roman"/>
          <w:kern w:val="2"/>
          <w:sz w:val="24"/>
          <w:szCs w:val="24"/>
          <w:highlight w:val="none"/>
        </w:rPr>
        <w:t>（二）</w:t>
      </w:r>
      <w:r>
        <w:rPr>
          <w:rFonts w:cs="Times New Roman"/>
          <w:kern w:val="2"/>
          <w:sz w:val="24"/>
          <w:szCs w:val="24"/>
          <w:highlight w:val="none"/>
        </w:rPr>
        <w:t>成交人应当按照合同约定履行义务，完成成交项目，不得将成交项目转让（转包）给他人；</w:t>
      </w:r>
    </w:p>
    <w:p>
      <w:pPr>
        <w:widowControl w:val="0"/>
        <w:shd w:val="clear" w:color="auto" w:fill="auto"/>
        <w:tabs>
          <w:tab w:val="clear" w:pos="426"/>
        </w:tabs>
        <w:adjustRightInd/>
        <w:snapToGrid/>
        <w:spacing w:line="240" w:lineRule="auto"/>
        <w:ind w:firstLine="480" w:firstLineChars="200"/>
        <w:rPr>
          <w:rFonts w:cs="Times New Roman"/>
          <w:kern w:val="2"/>
          <w:sz w:val="24"/>
          <w:szCs w:val="24"/>
          <w:highlight w:val="none"/>
        </w:rPr>
      </w:pPr>
      <w:r>
        <w:rPr>
          <w:rFonts w:hint="eastAsia" w:cs="Times New Roman"/>
          <w:kern w:val="2"/>
          <w:sz w:val="24"/>
          <w:szCs w:val="24"/>
          <w:highlight w:val="none"/>
        </w:rPr>
        <w:t>（三）</w:t>
      </w:r>
      <w:r>
        <w:rPr>
          <w:rFonts w:cs="Times New Roman"/>
          <w:kern w:val="2"/>
          <w:sz w:val="24"/>
          <w:szCs w:val="24"/>
          <w:highlight w:val="none"/>
        </w:rPr>
        <w:t xml:space="preserve"> 《深圳经济特区政府采购条例》第五十七条规定：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widowControl w:val="0"/>
        <w:shd w:val="clear" w:color="auto" w:fill="auto"/>
        <w:tabs>
          <w:tab w:val="clear" w:pos="426"/>
        </w:tabs>
        <w:adjustRightInd/>
        <w:snapToGrid/>
        <w:spacing w:line="240" w:lineRule="auto"/>
        <w:ind w:firstLine="480" w:firstLineChars="200"/>
        <w:rPr>
          <w:rFonts w:cs="Times New Roman"/>
          <w:kern w:val="2"/>
          <w:sz w:val="24"/>
          <w:szCs w:val="24"/>
          <w:highlight w:val="none"/>
        </w:rPr>
      </w:pPr>
      <w:r>
        <w:rPr>
          <w:rFonts w:cs="Times New Roman"/>
          <w:kern w:val="2"/>
          <w:sz w:val="24"/>
          <w:szCs w:val="24"/>
          <w:highlight w:val="none"/>
        </w:rPr>
        <w:t>1.在采购活动中应当回避而未回避的；</w:t>
      </w:r>
    </w:p>
    <w:p>
      <w:pPr>
        <w:widowControl w:val="0"/>
        <w:shd w:val="clear" w:color="auto" w:fill="auto"/>
        <w:tabs>
          <w:tab w:val="clear" w:pos="426"/>
        </w:tabs>
        <w:adjustRightInd/>
        <w:snapToGrid/>
        <w:spacing w:line="240" w:lineRule="auto"/>
        <w:ind w:firstLine="482" w:firstLineChars="200"/>
        <w:rPr>
          <w:rFonts w:cs="Times New Roman"/>
          <w:b/>
          <w:kern w:val="2"/>
          <w:sz w:val="24"/>
          <w:szCs w:val="24"/>
          <w:highlight w:val="none"/>
        </w:rPr>
      </w:pPr>
      <w:r>
        <w:rPr>
          <w:rFonts w:cs="Times New Roman"/>
          <w:b/>
          <w:kern w:val="2"/>
          <w:sz w:val="24"/>
          <w:szCs w:val="24"/>
          <w:highlight w:val="none"/>
        </w:rPr>
        <w:t>2.未按本条例规定签订、履行采购合同，造成严重后果的；</w:t>
      </w:r>
    </w:p>
    <w:p>
      <w:pPr>
        <w:widowControl w:val="0"/>
        <w:shd w:val="clear" w:color="auto" w:fill="auto"/>
        <w:tabs>
          <w:tab w:val="clear" w:pos="426"/>
        </w:tabs>
        <w:adjustRightInd/>
        <w:snapToGrid/>
        <w:spacing w:line="240" w:lineRule="auto"/>
        <w:ind w:firstLine="480" w:firstLineChars="200"/>
        <w:rPr>
          <w:rFonts w:cs="Times New Roman"/>
          <w:kern w:val="2"/>
          <w:sz w:val="24"/>
          <w:szCs w:val="24"/>
          <w:highlight w:val="none"/>
        </w:rPr>
      </w:pPr>
      <w:r>
        <w:rPr>
          <w:rFonts w:cs="Times New Roman"/>
          <w:kern w:val="2"/>
          <w:sz w:val="24"/>
          <w:szCs w:val="24"/>
          <w:highlight w:val="none"/>
        </w:rPr>
        <w:t>3.隐瞒真实情况，提供虚假资料的；</w:t>
      </w:r>
    </w:p>
    <w:p>
      <w:pPr>
        <w:widowControl w:val="0"/>
        <w:shd w:val="clear" w:color="auto" w:fill="auto"/>
        <w:tabs>
          <w:tab w:val="clear" w:pos="426"/>
        </w:tabs>
        <w:adjustRightInd/>
        <w:snapToGrid/>
        <w:spacing w:line="240" w:lineRule="auto"/>
        <w:ind w:firstLine="480" w:firstLineChars="200"/>
        <w:rPr>
          <w:rFonts w:cs="Times New Roman"/>
          <w:kern w:val="2"/>
          <w:sz w:val="24"/>
          <w:szCs w:val="24"/>
          <w:highlight w:val="none"/>
        </w:rPr>
      </w:pPr>
      <w:r>
        <w:rPr>
          <w:rFonts w:cs="Times New Roman"/>
          <w:kern w:val="2"/>
          <w:sz w:val="24"/>
          <w:szCs w:val="24"/>
          <w:highlight w:val="none"/>
        </w:rPr>
        <w:t>4.以非法手段排斥其他供应商参与竞争的；</w:t>
      </w:r>
    </w:p>
    <w:p>
      <w:pPr>
        <w:widowControl w:val="0"/>
        <w:shd w:val="clear" w:color="auto" w:fill="auto"/>
        <w:tabs>
          <w:tab w:val="clear" w:pos="426"/>
        </w:tabs>
        <w:adjustRightInd/>
        <w:snapToGrid/>
        <w:spacing w:line="240" w:lineRule="auto"/>
        <w:ind w:firstLine="480" w:firstLineChars="200"/>
        <w:rPr>
          <w:rFonts w:cs="Times New Roman"/>
          <w:kern w:val="2"/>
          <w:sz w:val="24"/>
          <w:szCs w:val="24"/>
          <w:highlight w:val="none"/>
        </w:rPr>
      </w:pPr>
      <w:r>
        <w:rPr>
          <w:rFonts w:cs="Times New Roman"/>
          <w:kern w:val="2"/>
          <w:sz w:val="24"/>
          <w:szCs w:val="24"/>
          <w:highlight w:val="none"/>
        </w:rPr>
        <w:t>5.与其他采购参加人串通谈判应答的；</w:t>
      </w:r>
    </w:p>
    <w:p>
      <w:pPr>
        <w:widowControl w:val="0"/>
        <w:shd w:val="clear" w:color="auto" w:fill="auto"/>
        <w:tabs>
          <w:tab w:val="clear" w:pos="426"/>
        </w:tabs>
        <w:adjustRightInd/>
        <w:snapToGrid/>
        <w:spacing w:line="240" w:lineRule="auto"/>
        <w:ind w:firstLine="480" w:firstLineChars="200"/>
        <w:rPr>
          <w:rFonts w:cs="Times New Roman"/>
          <w:kern w:val="2"/>
          <w:sz w:val="24"/>
          <w:szCs w:val="24"/>
          <w:highlight w:val="none"/>
        </w:rPr>
      </w:pPr>
      <w:r>
        <w:rPr>
          <w:rFonts w:cs="Times New Roman"/>
          <w:kern w:val="2"/>
          <w:sz w:val="24"/>
          <w:szCs w:val="24"/>
          <w:highlight w:val="none"/>
        </w:rPr>
        <w:t>6.恶意投诉的；</w:t>
      </w:r>
    </w:p>
    <w:p>
      <w:pPr>
        <w:widowControl w:val="0"/>
        <w:shd w:val="clear" w:color="auto" w:fill="auto"/>
        <w:tabs>
          <w:tab w:val="clear" w:pos="426"/>
        </w:tabs>
        <w:adjustRightInd/>
        <w:snapToGrid/>
        <w:spacing w:line="240" w:lineRule="auto"/>
        <w:ind w:firstLine="480" w:firstLineChars="200"/>
        <w:rPr>
          <w:rFonts w:cs="Times New Roman"/>
          <w:kern w:val="2"/>
          <w:sz w:val="24"/>
          <w:szCs w:val="24"/>
          <w:highlight w:val="none"/>
        </w:rPr>
      </w:pPr>
      <w:r>
        <w:rPr>
          <w:rFonts w:cs="Times New Roman"/>
          <w:kern w:val="2"/>
          <w:sz w:val="24"/>
          <w:szCs w:val="24"/>
          <w:highlight w:val="none"/>
        </w:rPr>
        <w:t>7.向采购项目相关人行贿或者提供其他不当利益的；</w:t>
      </w:r>
    </w:p>
    <w:p>
      <w:pPr>
        <w:widowControl w:val="0"/>
        <w:shd w:val="clear" w:color="auto" w:fill="auto"/>
        <w:tabs>
          <w:tab w:val="clear" w:pos="426"/>
        </w:tabs>
        <w:adjustRightInd/>
        <w:snapToGrid/>
        <w:spacing w:line="240" w:lineRule="auto"/>
        <w:ind w:firstLine="480" w:firstLineChars="200"/>
        <w:rPr>
          <w:rFonts w:cs="Times New Roman"/>
          <w:kern w:val="2"/>
          <w:sz w:val="24"/>
          <w:szCs w:val="24"/>
          <w:highlight w:val="none"/>
        </w:rPr>
      </w:pPr>
      <w:r>
        <w:rPr>
          <w:rFonts w:cs="Times New Roman"/>
          <w:kern w:val="2"/>
          <w:sz w:val="24"/>
          <w:szCs w:val="24"/>
          <w:highlight w:val="none"/>
        </w:rPr>
        <w:t>8.阻碍、抗拒主管部门监督检查的；</w:t>
      </w:r>
    </w:p>
    <w:p>
      <w:pPr>
        <w:widowControl w:val="0"/>
        <w:shd w:val="clear" w:color="auto" w:fill="auto"/>
        <w:tabs>
          <w:tab w:val="clear" w:pos="426"/>
        </w:tabs>
        <w:adjustRightInd/>
        <w:snapToGrid/>
        <w:spacing w:line="240" w:lineRule="auto"/>
        <w:ind w:firstLine="480" w:firstLineChars="200"/>
        <w:rPr>
          <w:rFonts w:cs="Times New Roman"/>
          <w:kern w:val="2"/>
          <w:sz w:val="24"/>
          <w:szCs w:val="24"/>
          <w:highlight w:val="none"/>
        </w:rPr>
      </w:pPr>
      <w:r>
        <w:rPr>
          <w:rFonts w:cs="Times New Roman"/>
          <w:kern w:val="2"/>
          <w:sz w:val="24"/>
          <w:szCs w:val="24"/>
          <w:highlight w:val="none"/>
        </w:rPr>
        <w:t>9.其他违反本条例规定的行为。</w:t>
      </w:r>
    </w:p>
    <w:p>
      <w:pPr>
        <w:widowControl w:val="0"/>
        <w:shd w:val="clear" w:color="auto" w:fill="auto"/>
        <w:tabs>
          <w:tab w:val="clear" w:pos="426"/>
        </w:tabs>
        <w:adjustRightInd/>
        <w:snapToGrid/>
        <w:spacing w:line="240" w:lineRule="auto"/>
        <w:ind w:firstLine="480" w:firstLineChars="200"/>
        <w:rPr>
          <w:rFonts w:cs="Times New Roman"/>
          <w:kern w:val="2"/>
          <w:sz w:val="24"/>
          <w:szCs w:val="24"/>
          <w:highlight w:val="none"/>
        </w:rPr>
      </w:pPr>
      <w:r>
        <w:rPr>
          <w:rFonts w:hint="eastAsia" w:cs="Times New Roman"/>
          <w:kern w:val="2"/>
          <w:sz w:val="24"/>
          <w:szCs w:val="24"/>
          <w:highlight w:val="none"/>
        </w:rPr>
        <w:t>（四）</w:t>
      </w:r>
      <w:r>
        <w:rPr>
          <w:rFonts w:cs="Times New Roman"/>
          <w:kern w:val="2"/>
          <w:sz w:val="24"/>
          <w:szCs w:val="24"/>
          <w:highlight w:val="none"/>
        </w:rPr>
        <w:t xml:space="preserve"> 供应商必须诚信谈判应答，对项目需求进行实质性响应。采购单位（或深圳市政府采购中心）将组织聘请第三方专业机构（必要时，邀请参加本项目谈判应答的供应商）实施项目履约验收，如未按合同履约，将按上述第（</w:t>
      </w:r>
      <w:r>
        <w:rPr>
          <w:rFonts w:hint="eastAsia" w:cs="Times New Roman"/>
          <w:kern w:val="2"/>
          <w:sz w:val="24"/>
          <w:szCs w:val="24"/>
          <w:highlight w:val="none"/>
        </w:rPr>
        <w:t>三</w:t>
      </w:r>
      <w:r>
        <w:rPr>
          <w:rFonts w:cs="Times New Roman"/>
          <w:kern w:val="2"/>
          <w:sz w:val="24"/>
          <w:szCs w:val="24"/>
          <w:highlight w:val="none"/>
        </w:rPr>
        <w:t>）条规定进行处理。</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shd w:val="clear" w:color="auto" w:fill="auto"/>
        <w:tabs>
          <w:tab w:val="clear" w:pos="426"/>
        </w:tabs>
        <w:adjustRightInd/>
        <w:snapToGrid/>
        <w:spacing w:line="240" w:lineRule="auto"/>
        <w:jc w:val="left"/>
        <w:rPr>
          <w:b/>
          <w:sz w:val="24"/>
          <w:highlight w:val="none"/>
        </w:rPr>
      </w:pPr>
      <w:r>
        <w:rPr>
          <w:b/>
          <w:sz w:val="24"/>
          <w:highlight w:val="none"/>
        </w:rPr>
        <w:br w:type="page"/>
      </w:r>
    </w:p>
    <w:p>
      <w:pPr>
        <w:tabs>
          <w:tab w:val="clear" w:pos="426"/>
        </w:tabs>
        <w:jc w:val="center"/>
        <w:rPr>
          <w:b/>
          <w:sz w:val="24"/>
          <w:highlight w:val="none"/>
        </w:rPr>
      </w:pPr>
    </w:p>
    <w:p>
      <w:pPr>
        <w:tabs>
          <w:tab w:val="clear" w:pos="426"/>
        </w:tabs>
        <w:jc w:val="center"/>
        <w:rPr>
          <w:b/>
          <w:sz w:val="24"/>
          <w:highlight w:val="none"/>
        </w:rPr>
      </w:pPr>
      <w:r>
        <w:rPr>
          <w:rFonts w:hint="eastAsia"/>
          <w:b/>
          <w:sz w:val="24"/>
          <w:highlight w:val="none"/>
        </w:rPr>
        <w:t>二、合同条款及格式</w:t>
      </w:r>
    </w:p>
    <w:p>
      <w:pPr>
        <w:tabs>
          <w:tab w:val="clear" w:pos="426"/>
        </w:tabs>
        <w:jc w:val="center"/>
        <w:rPr>
          <w:b/>
          <w:sz w:val="24"/>
          <w:highlight w:val="none"/>
        </w:rPr>
      </w:pPr>
      <w:r>
        <w:rPr>
          <w:rFonts w:hint="eastAsia"/>
          <w:b/>
          <w:sz w:val="24"/>
          <w:highlight w:val="none"/>
        </w:rPr>
        <w:t>有专业类别的格式合同范本请选择相应的合同</w:t>
      </w:r>
    </w:p>
    <w:p>
      <w:pPr>
        <w:tabs>
          <w:tab w:val="clear" w:pos="426"/>
        </w:tabs>
        <w:jc w:val="center"/>
        <w:rPr>
          <w:b/>
          <w:sz w:val="24"/>
          <w:highlight w:val="none"/>
        </w:rPr>
      </w:pPr>
      <w:r>
        <w:rPr>
          <w:rFonts w:hint="eastAsia"/>
          <w:b/>
          <w:sz w:val="24"/>
          <w:highlight w:val="none"/>
        </w:rPr>
        <w:t>（仅供参考）</w:t>
      </w:r>
    </w:p>
    <w:p>
      <w:pPr>
        <w:tabs>
          <w:tab w:val="clear" w:pos="426"/>
        </w:tabs>
        <w:rPr>
          <w:highlight w:val="none"/>
          <w:u w:val="none"/>
        </w:rPr>
      </w:pPr>
      <w:r>
        <w:rPr>
          <w:rFonts w:hint="eastAsia"/>
          <w:highlight w:val="none"/>
        </w:rPr>
        <w:t>甲方</w:t>
      </w:r>
      <w:r>
        <w:rPr>
          <w:rFonts w:hint="eastAsia"/>
          <w:highlight w:val="none"/>
          <w:u w:val="none"/>
        </w:rPr>
        <w:t>：</w:t>
      </w:r>
      <w:r>
        <w:rPr>
          <w:highlight w:val="none"/>
          <w:u w:val="none"/>
        </w:rPr>
        <w:t>___________</w:t>
      </w:r>
    </w:p>
    <w:p>
      <w:pPr>
        <w:tabs>
          <w:tab w:val="clear" w:pos="426"/>
        </w:tabs>
        <w:rPr>
          <w:highlight w:val="none"/>
          <w:u w:val="none"/>
        </w:rPr>
      </w:pPr>
      <w:r>
        <w:rPr>
          <w:rFonts w:hint="eastAsia"/>
          <w:highlight w:val="none"/>
          <w:u w:val="none"/>
        </w:rPr>
        <w:t>投标人：</w:t>
      </w:r>
      <w:r>
        <w:rPr>
          <w:highlight w:val="none"/>
          <w:u w:val="none"/>
        </w:rPr>
        <w:t>___________</w:t>
      </w:r>
    </w:p>
    <w:p>
      <w:pPr>
        <w:tabs>
          <w:tab w:val="clear" w:pos="426"/>
        </w:tabs>
        <w:rPr>
          <w:sz w:val="24"/>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根据</w:t>
      </w:r>
      <w:r>
        <w:rPr>
          <w:rFonts w:hint="eastAsia" w:cs="Times New Roman"/>
          <w:kern w:val="2"/>
          <w:szCs w:val="21"/>
          <w:highlight w:val="none"/>
          <w:u w:val="single"/>
        </w:rPr>
        <w:t xml:space="preserve">          </w:t>
      </w:r>
      <w:r>
        <w:rPr>
          <w:rFonts w:hint="eastAsia" w:cs="Times New Roman"/>
          <w:kern w:val="2"/>
          <w:szCs w:val="21"/>
          <w:highlight w:val="none"/>
        </w:rPr>
        <w:t>号采购项目的谈判应答结果，由</w:t>
      </w:r>
      <w:r>
        <w:rPr>
          <w:rFonts w:hint="eastAsia" w:cs="Times New Roman"/>
          <w:kern w:val="2"/>
          <w:szCs w:val="21"/>
          <w:highlight w:val="none"/>
          <w:u w:val="single"/>
        </w:rPr>
        <w:t xml:space="preserve">             </w:t>
      </w:r>
      <w:r>
        <w:rPr>
          <w:rFonts w:hint="eastAsia" w:cs="Times New Roman"/>
          <w:kern w:val="2"/>
          <w:szCs w:val="21"/>
          <w:highlight w:val="none"/>
        </w:rPr>
        <w:t>单位为成交方。按照《中华人民共和国</w:t>
      </w:r>
      <w:r>
        <w:rPr>
          <w:rFonts w:hint="eastAsia" w:cs="Times New Roman"/>
          <w:kern w:val="2"/>
          <w:szCs w:val="21"/>
          <w:highlight w:val="none"/>
          <w:lang w:val="en-US" w:eastAsia="zh-CN"/>
        </w:rPr>
        <w:t>民法典</w:t>
      </w:r>
      <w:r>
        <w:rPr>
          <w:rFonts w:hint="eastAsia" w:cs="Times New Roman"/>
          <w:kern w:val="2"/>
          <w:szCs w:val="21"/>
          <w:highlight w:val="none"/>
        </w:rPr>
        <w:t>》和《深圳经济特区政府采购条例》，经深圳市</w:t>
      </w:r>
      <w:r>
        <w:rPr>
          <w:rFonts w:hint="eastAsia" w:cs="Times New Roman"/>
          <w:kern w:val="2"/>
          <w:szCs w:val="21"/>
          <w:highlight w:val="none"/>
          <w:u w:val="single"/>
        </w:rPr>
        <w:t xml:space="preserve">         </w:t>
      </w:r>
      <w:r>
        <w:rPr>
          <w:rFonts w:hint="eastAsia" w:cs="Times New Roman"/>
          <w:kern w:val="2"/>
          <w:szCs w:val="21"/>
          <w:highlight w:val="none"/>
        </w:rPr>
        <w:t>（以下简称甲方）和</w:t>
      </w:r>
      <w:r>
        <w:rPr>
          <w:rFonts w:hint="eastAsia" w:cs="Times New Roman"/>
          <w:kern w:val="2"/>
          <w:szCs w:val="21"/>
          <w:highlight w:val="none"/>
          <w:u w:val="single"/>
        </w:rPr>
        <w:t xml:space="preserve">                          </w:t>
      </w:r>
      <w:r>
        <w:rPr>
          <w:rFonts w:hint="eastAsia" w:cs="Times New Roman"/>
          <w:kern w:val="2"/>
          <w:szCs w:val="21"/>
          <w:highlight w:val="none"/>
        </w:rPr>
        <w:t>单位（以下简称投标人）协商，就甲方委托投标人承担</w:t>
      </w:r>
      <w:r>
        <w:rPr>
          <w:rFonts w:hint="eastAsia" w:cs="Times New Roman"/>
          <w:b/>
          <w:bCs/>
          <w:snapToGrid w:val="0"/>
          <w:szCs w:val="21"/>
          <w:highlight w:val="none"/>
          <w:u w:val="single"/>
          <w:lang w:val="zh-CN"/>
        </w:rPr>
        <w:t xml:space="preserve">                      服务项目</w:t>
      </w:r>
      <w:r>
        <w:rPr>
          <w:rFonts w:hint="eastAsia" w:cs="Times New Roman"/>
          <w:kern w:val="2"/>
          <w:szCs w:val="21"/>
          <w:highlight w:val="none"/>
        </w:rPr>
        <w:t>，达成以下合同条款：</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第一条　项目概况</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 xml:space="preserve">项目名称： </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 xml:space="preserve">项目内容： </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 xml:space="preserve">服务时间： </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合同价款：合同总价为</w:t>
      </w:r>
      <w:r>
        <w:rPr>
          <w:rFonts w:hint="eastAsia" w:cs="Times New Roman"/>
          <w:kern w:val="2"/>
          <w:szCs w:val="21"/>
          <w:highlight w:val="none"/>
          <w:u w:val="single"/>
        </w:rPr>
        <w:t xml:space="preserve">         </w:t>
      </w:r>
      <w:r>
        <w:rPr>
          <w:rFonts w:hint="eastAsia" w:cs="Times New Roman"/>
          <w:kern w:val="2"/>
          <w:szCs w:val="21"/>
          <w:highlight w:val="none"/>
        </w:rPr>
        <w:t>元，含一切税、费。</w:t>
      </w:r>
      <w:r>
        <w:rPr>
          <w:rFonts w:ascii="Times New Roman" w:hAnsi="Times New Roman" w:cs="Times New Roman"/>
          <w:kern w:val="2"/>
          <w:highlight w:val="none"/>
        </w:rPr>
        <w:t>本合同总价包括</w:t>
      </w:r>
      <w:r>
        <w:rPr>
          <w:rFonts w:hint="eastAsia" w:cs="Times New Roman"/>
          <w:kern w:val="2"/>
          <w:szCs w:val="21"/>
          <w:highlight w:val="none"/>
        </w:rPr>
        <w:t>投标人为实施本项目所需的设备仪器费、车辆租赁费、</w:t>
      </w:r>
      <w:r>
        <w:rPr>
          <w:rFonts w:ascii="Times New Roman" w:hAnsi="Times New Roman" w:cs="Times New Roman"/>
          <w:kern w:val="2"/>
          <w:highlight w:val="none"/>
        </w:rPr>
        <w:t>服务</w:t>
      </w:r>
      <w:r>
        <w:rPr>
          <w:rFonts w:hint="eastAsia" w:ascii="Times New Roman" w:hAnsi="Times New Roman" w:cs="Times New Roman"/>
          <w:kern w:val="2"/>
          <w:highlight w:val="none"/>
        </w:rPr>
        <w:t>和</w:t>
      </w:r>
      <w:r>
        <w:rPr>
          <w:rFonts w:ascii="Times New Roman" w:hAnsi="Times New Roman" w:cs="Times New Roman"/>
          <w:kern w:val="2"/>
          <w:highlight w:val="none"/>
        </w:rPr>
        <w:t>技术费用</w:t>
      </w:r>
      <w:r>
        <w:rPr>
          <w:rFonts w:hint="eastAsia" w:ascii="Times New Roman" w:hAnsi="Times New Roman" w:cs="Times New Roman"/>
          <w:kern w:val="2"/>
          <w:highlight w:val="none"/>
        </w:rPr>
        <w:t>等</w:t>
      </w:r>
      <w:r>
        <w:rPr>
          <w:rFonts w:ascii="Times New Roman" w:hAnsi="Times New Roman" w:cs="Times New Roman"/>
          <w:kern w:val="2"/>
          <w:highlight w:val="none"/>
        </w:rPr>
        <w:t>，为固定不变价格，且不随通货膨胀的影响而波动。合同总价包括</w:t>
      </w:r>
      <w:r>
        <w:rPr>
          <w:rFonts w:hint="eastAsia" w:cs="Times New Roman"/>
          <w:kern w:val="2"/>
          <w:szCs w:val="21"/>
          <w:highlight w:val="none"/>
        </w:rPr>
        <w:t>投标人</w:t>
      </w:r>
      <w:r>
        <w:rPr>
          <w:rFonts w:ascii="Times New Roman" w:hAnsi="Times New Roman" w:cs="Times New Roman"/>
          <w:kern w:val="2"/>
          <w:highlight w:val="none"/>
        </w:rPr>
        <w:t>履行本合同义务所发生的一切费用和支出。如发生本合同规定的不可抗力，合同总价可经双方友好协商予以调整。</w:t>
      </w:r>
    </w:p>
    <w:p>
      <w:pPr>
        <w:widowControl w:val="0"/>
        <w:shd w:val="clear" w:color="auto" w:fill="auto"/>
        <w:tabs>
          <w:tab w:val="clear" w:pos="426"/>
        </w:tabs>
        <w:adjustRightInd/>
        <w:snapToGrid/>
        <w:spacing w:line="240" w:lineRule="auto"/>
        <w:ind w:firstLine="420"/>
        <w:rPr>
          <w:rFonts w:cs="Times New Roman"/>
          <w:kern w:val="2"/>
          <w:szCs w:val="21"/>
          <w:highlight w:val="none"/>
        </w:rPr>
      </w:pPr>
      <w:r>
        <w:rPr>
          <w:rFonts w:hint="eastAsia" w:cs="Times New Roman"/>
          <w:kern w:val="2"/>
          <w:szCs w:val="21"/>
          <w:highlight w:val="none"/>
        </w:rPr>
        <w:t>支付方式：</w:t>
      </w:r>
      <w:r>
        <w:rPr>
          <w:rFonts w:hint="eastAsia" w:cs="Times New Roman"/>
          <w:kern w:val="2"/>
          <w:szCs w:val="21"/>
          <w:highlight w:val="none"/>
          <w:lang w:val="en-US" w:eastAsia="zh-CN"/>
        </w:rPr>
        <w:t>按实</w:t>
      </w:r>
      <w:r>
        <w:rPr>
          <w:rFonts w:hint="eastAsia" w:cs="Times New Roman"/>
          <w:kern w:val="2"/>
          <w:szCs w:val="21"/>
          <w:highlight w:val="none"/>
        </w:rPr>
        <w:t>分期支付。</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第二条  服务范围</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 xml:space="preserve">1、  </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 xml:space="preserve">2、  </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 xml:space="preserve">3、  </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4、 其他合同未明示的相关工作。</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第三条  时间要求及阶段成果</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1、合同签订</w:t>
      </w:r>
      <w:r>
        <w:rPr>
          <w:rFonts w:hint="eastAsia" w:cs="Times New Roman"/>
          <w:kern w:val="2"/>
          <w:szCs w:val="21"/>
          <w:highlight w:val="none"/>
          <w:u w:val="single"/>
        </w:rPr>
        <w:t xml:space="preserve">   </w:t>
      </w:r>
      <w:r>
        <w:rPr>
          <w:rFonts w:hint="eastAsia" w:cs="Times New Roman"/>
          <w:kern w:val="2"/>
          <w:szCs w:val="21"/>
          <w:highlight w:val="none"/>
        </w:rPr>
        <w:t>天内完成</w:t>
      </w:r>
      <w:r>
        <w:rPr>
          <w:rFonts w:hint="eastAsia" w:cs="Times New Roman"/>
          <w:kern w:val="2"/>
          <w:szCs w:val="21"/>
          <w:highlight w:val="none"/>
          <w:lang w:val="en-US" w:eastAsia="zh-CN"/>
        </w:rPr>
        <w:t>车辆服务</w:t>
      </w:r>
      <w:r>
        <w:rPr>
          <w:rFonts w:hint="eastAsia" w:cs="Times New Roman"/>
          <w:kern w:val="2"/>
          <w:szCs w:val="21"/>
          <w:highlight w:val="none"/>
        </w:rPr>
        <w:t>的准备工作，包括</w:t>
      </w:r>
      <w:r>
        <w:rPr>
          <w:rFonts w:hint="eastAsia" w:cs="Times New Roman"/>
          <w:kern w:val="2"/>
          <w:szCs w:val="21"/>
          <w:highlight w:val="none"/>
          <w:lang w:val="en-US" w:eastAsia="zh-CN"/>
        </w:rPr>
        <w:t>车辆、司机等</w:t>
      </w:r>
      <w:r>
        <w:rPr>
          <w:rFonts w:hint="eastAsia" w:cs="Times New Roman"/>
          <w:kern w:val="2"/>
          <w:szCs w:val="21"/>
          <w:highlight w:val="none"/>
        </w:rPr>
        <w:t>；</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 xml:space="preserve">2、 </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3、</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4、</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第四条  咨询服务资料归属</w:t>
      </w:r>
    </w:p>
    <w:p>
      <w:pPr>
        <w:widowControl w:val="0"/>
        <w:shd w:val="clear" w:color="auto" w:fill="auto"/>
        <w:tabs>
          <w:tab w:val="clear" w:pos="426"/>
        </w:tabs>
        <w:adjustRightInd/>
        <w:snapToGrid/>
        <w:spacing w:line="240" w:lineRule="auto"/>
        <w:ind w:firstLine="420" w:firstLineChars="200"/>
        <w:rPr>
          <w:rFonts w:ascii="Times New Roman" w:hAnsi="Times New Roman" w:cs="Times New Roman"/>
          <w:kern w:val="2"/>
          <w:highlight w:val="none"/>
        </w:rPr>
      </w:pPr>
      <w:r>
        <w:rPr>
          <w:rFonts w:ascii="Times New Roman" w:hAnsi="Times New Roman" w:cs="Times New Roman"/>
          <w:kern w:val="2"/>
          <w:highlight w:val="none"/>
        </w:rPr>
        <w:t>1</w:t>
      </w:r>
      <w:r>
        <w:rPr>
          <w:rFonts w:hint="eastAsia" w:ascii="Times New Roman" w:hAnsi="Times New Roman" w:cs="Times New Roman"/>
          <w:kern w:val="2"/>
          <w:highlight w:val="none"/>
        </w:rPr>
        <w:t>、</w:t>
      </w:r>
      <w:r>
        <w:rPr>
          <w:rFonts w:ascii="Times New Roman" w:hAnsi="Times New Roman" w:cs="Times New Roman"/>
          <w:kern w:val="2"/>
          <w:highlight w:val="none"/>
        </w:rPr>
        <w:t>所有提交给</w:t>
      </w:r>
      <w:r>
        <w:rPr>
          <w:rFonts w:hint="eastAsia" w:ascii="Times New Roman" w:hAnsi="Times New Roman" w:cs="Times New Roman"/>
          <w:kern w:val="2"/>
          <w:highlight w:val="none"/>
        </w:rPr>
        <w:t>甲</w:t>
      </w:r>
      <w:r>
        <w:rPr>
          <w:rFonts w:ascii="Times New Roman" w:hAnsi="Times New Roman" w:cs="Times New Roman"/>
          <w:kern w:val="2"/>
          <w:highlight w:val="none"/>
        </w:rPr>
        <w:t>方的咨询服务</w:t>
      </w:r>
      <w:r>
        <w:rPr>
          <w:rFonts w:hint="eastAsia" w:ascii="Times New Roman" w:hAnsi="Times New Roman" w:cs="Times New Roman"/>
          <w:kern w:val="2"/>
          <w:highlight w:val="none"/>
        </w:rPr>
        <w:t>文件</w:t>
      </w:r>
      <w:r>
        <w:rPr>
          <w:rFonts w:ascii="Times New Roman" w:hAnsi="Times New Roman" w:cs="Times New Roman"/>
          <w:kern w:val="2"/>
          <w:highlight w:val="none"/>
        </w:rPr>
        <w:t>及相关的资料的最后文本，包括为履行技术咨询服务范围所编制的图纸、计划和证明资料等，都属于</w:t>
      </w:r>
      <w:r>
        <w:rPr>
          <w:rFonts w:hint="eastAsia" w:ascii="Times New Roman" w:hAnsi="Times New Roman" w:cs="Times New Roman"/>
          <w:kern w:val="2"/>
          <w:highlight w:val="none"/>
        </w:rPr>
        <w:t>甲</w:t>
      </w:r>
      <w:r>
        <w:rPr>
          <w:rFonts w:ascii="Times New Roman" w:hAnsi="Times New Roman" w:cs="Times New Roman"/>
          <w:kern w:val="2"/>
          <w:highlight w:val="none"/>
        </w:rPr>
        <w:t>方的财产，</w:t>
      </w:r>
      <w:r>
        <w:rPr>
          <w:rFonts w:hint="eastAsia" w:cs="Times New Roman"/>
          <w:kern w:val="2"/>
          <w:szCs w:val="21"/>
          <w:highlight w:val="none"/>
        </w:rPr>
        <w:t>投标人</w:t>
      </w:r>
      <w:r>
        <w:rPr>
          <w:rFonts w:ascii="Times New Roman" w:hAnsi="Times New Roman" w:cs="Times New Roman"/>
          <w:kern w:val="2"/>
          <w:highlight w:val="none"/>
        </w:rPr>
        <w:t>在提交给</w:t>
      </w:r>
      <w:r>
        <w:rPr>
          <w:rFonts w:hint="eastAsia" w:ascii="Times New Roman" w:hAnsi="Times New Roman" w:cs="Times New Roman"/>
          <w:kern w:val="2"/>
          <w:highlight w:val="none"/>
        </w:rPr>
        <w:t>甲</w:t>
      </w:r>
      <w:r>
        <w:rPr>
          <w:rFonts w:ascii="Times New Roman" w:hAnsi="Times New Roman" w:cs="Times New Roman"/>
          <w:kern w:val="2"/>
          <w:highlight w:val="none"/>
        </w:rPr>
        <w:t>方之前应将上述资料进行整理归类和编制索引</w:t>
      </w:r>
      <w:r>
        <w:rPr>
          <w:rFonts w:hint="eastAsia" w:ascii="Times New Roman" w:hAnsi="Times New Roman" w:cs="Times New Roman"/>
          <w:kern w:val="2"/>
          <w:highlight w:val="none"/>
        </w:rPr>
        <w:t>。</w:t>
      </w:r>
    </w:p>
    <w:p>
      <w:pPr>
        <w:widowControl w:val="0"/>
        <w:shd w:val="clear" w:color="auto" w:fill="auto"/>
        <w:tabs>
          <w:tab w:val="clear" w:pos="426"/>
        </w:tabs>
        <w:adjustRightInd/>
        <w:snapToGrid/>
        <w:spacing w:line="240" w:lineRule="auto"/>
        <w:ind w:firstLine="420" w:firstLineChars="200"/>
        <w:rPr>
          <w:rFonts w:ascii="Times New Roman" w:hAnsi="Times New Roman" w:cs="Times New Roman"/>
          <w:kern w:val="2"/>
          <w:highlight w:val="none"/>
        </w:rPr>
      </w:pPr>
      <w:r>
        <w:rPr>
          <w:rFonts w:ascii="Times New Roman" w:hAnsi="Times New Roman" w:cs="Times New Roman"/>
          <w:kern w:val="2"/>
          <w:highlight w:val="none"/>
        </w:rPr>
        <w:t>2</w:t>
      </w:r>
      <w:r>
        <w:rPr>
          <w:rFonts w:hint="eastAsia" w:ascii="Times New Roman" w:hAnsi="Times New Roman" w:cs="Times New Roman"/>
          <w:kern w:val="2"/>
          <w:highlight w:val="none"/>
        </w:rPr>
        <w:t>、</w:t>
      </w:r>
      <w:r>
        <w:rPr>
          <w:rFonts w:hint="eastAsia" w:cs="Times New Roman"/>
          <w:kern w:val="2"/>
          <w:szCs w:val="21"/>
          <w:highlight w:val="none"/>
        </w:rPr>
        <w:t>投标人</w:t>
      </w:r>
      <w:r>
        <w:rPr>
          <w:rFonts w:ascii="Times New Roman" w:hAnsi="Times New Roman" w:cs="Times New Roman"/>
          <w:kern w:val="2"/>
          <w:highlight w:val="none"/>
        </w:rPr>
        <w:t>未经</w:t>
      </w:r>
      <w:r>
        <w:rPr>
          <w:rFonts w:hint="eastAsia" w:ascii="Times New Roman" w:hAnsi="Times New Roman" w:cs="Times New Roman"/>
          <w:kern w:val="2"/>
          <w:highlight w:val="none"/>
        </w:rPr>
        <w:t>甲</w:t>
      </w:r>
      <w:r>
        <w:rPr>
          <w:rFonts w:ascii="Times New Roman" w:hAnsi="Times New Roman" w:cs="Times New Roman"/>
          <w:kern w:val="2"/>
          <w:highlight w:val="none"/>
        </w:rPr>
        <w:t>方的书面同意，不得将上述资料用于与本咨询服务项目之外的任何项目</w:t>
      </w:r>
      <w:r>
        <w:rPr>
          <w:rFonts w:hint="eastAsia" w:ascii="Times New Roman" w:hAnsi="Times New Roman" w:cs="Times New Roman"/>
          <w:kern w:val="2"/>
          <w:highlight w:val="none"/>
        </w:rPr>
        <w:t>。</w:t>
      </w:r>
    </w:p>
    <w:p>
      <w:pPr>
        <w:widowControl w:val="0"/>
        <w:shd w:val="clear" w:color="auto" w:fill="auto"/>
        <w:tabs>
          <w:tab w:val="clear" w:pos="426"/>
        </w:tabs>
        <w:adjustRightInd/>
        <w:snapToGrid/>
        <w:spacing w:line="240" w:lineRule="auto"/>
        <w:ind w:firstLine="420" w:firstLineChars="200"/>
        <w:rPr>
          <w:rFonts w:ascii="Times New Roman" w:hAnsi="Times New Roman" w:cs="Times New Roman"/>
          <w:kern w:val="2"/>
          <w:highlight w:val="none"/>
        </w:rPr>
      </w:pPr>
      <w:r>
        <w:rPr>
          <w:rFonts w:hint="eastAsia" w:ascii="Times New Roman" w:hAnsi="Times New Roman" w:cs="Times New Roman"/>
          <w:kern w:val="2"/>
          <w:highlight w:val="none"/>
        </w:rPr>
        <w:t>3、</w:t>
      </w:r>
      <w:r>
        <w:rPr>
          <w:rFonts w:ascii="Times New Roman" w:hAnsi="Times New Roman" w:cs="Times New Roman"/>
          <w:kern w:val="2"/>
          <w:highlight w:val="none"/>
        </w:rPr>
        <w:t>合同履行</w:t>
      </w:r>
      <w:r>
        <w:rPr>
          <w:rFonts w:hint="eastAsia" w:ascii="Times New Roman" w:hAnsi="Times New Roman" w:cs="Times New Roman"/>
          <w:kern w:val="2"/>
          <w:highlight w:val="none"/>
        </w:rPr>
        <w:t>完毕，</w:t>
      </w:r>
      <w:r>
        <w:rPr>
          <w:rFonts w:ascii="Times New Roman" w:hAnsi="Times New Roman" w:cs="Times New Roman"/>
          <w:kern w:val="2"/>
          <w:highlight w:val="none"/>
        </w:rPr>
        <w:t>未经</w:t>
      </w:r>
      <w:r>
        <w:rPr>
          <w:rFonts w:hint="eastAsia" w:ascii="Times New Roman" w:hAnsi="Times New Roman" w:cs="Times New Roman"/>
          <w:kern w:val="2"/>
          <w:highlight w:val="none"/>
        </w:rPr>
        <w:t>甲</w:t>
      </w:r>
      <w:r>
        <w:rPr>
          <w:rFonts w:ascii="Times New Roman" w:hAnsi="Times New Roman" w:cs="Times New Roman"/>
          <w:kern w:val="2"/>
          <w:highlight w:val="none"/>
        </w:rPr>
        <w:t>方的书面同意</w:t>
      </w:r>
      <w:r>
        <w:rPr>
          <w:rFonts w:hint="eastAsia" w:ascii="Times New Roman" w:hAnsi="Times New Roman" w:cs="Times New Roman"/>
          <w:kern w:val="2"/>
          <w:highlight w:val="none"/>
        </w:rPr>
        <w:t>，</w:t>
      </w:r>
      <w:r>
        <w:rPr>
          <w:rFonts w:hint="eastAsia" w:cs="Times New Roman"/>
          <w:kern w:val="2"/>
          <w:szCs w:val="21"/>
          <w:highlight w:val="none"/>
        </w:rPr>
        <w:t>投标人</w:t>
      </w:r>
      <w:r>
        <w:rPr>
          <w:rFonts w:hint="eastAsia" w:ascii="Times New Roman" w:hAnsi="Times New Roman" w:cs="Times New Roman"/>
          <w:kern w:val="2"/>
          <w:highlight w:val="none"/>
        </w:rPr>
        <w:t>不得保存在</w:t>
      </w:r>
      <w:r>
        <w:rPr>
          <w:rFonts w:ascii="Times New Roman" w:hAnsi="Times New Roman" w:cs="Times New Roman"/>
          <w:kern w:val="2"/>
          <w:highlight w:val="none"/>
        </w:rPr>
        <w:t>履行合同过程中所获得或接触到的任何</w:t>
      </w:r>
      <w:r>
        <w:rPr>
          <w:rFonts w:hint="eastAsia" w:cs="Times New Roman"/>
          <w:kern w:val="2"/>
          <w:szCs w:val="21"/>
          <w:highlight w:val="none"/>
        </w:rPr>
        <w:t>内部数据资料。</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第五条  甲方的义务</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1、负责与本咨询服务项目有关的第三方的协调，提供开展咨询服务工作的外部条件。</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2、向投标人提供与本项目咨询服务工作有关的资料。</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3、负责组织有关专家对项目试验成果评估报告的评审。</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第七条　投标人的义务</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１、应按照</w:t>
      </w:r>
      <w:r>
        <w:rPr>
          <w:rFonts w:hint="eastAsia" w:cs="Times New Roman"/>
          <w:kern w:val="2"/>
          <w:szCs w:val="21"/>
          <w:highlight w:val="none"/>
          <w:u w:val="single"/>
        </w:rPr>
        <w:t xml:space="preserve">          </w:t>
      </w:r>
      <w:r>
        <w:rPr>
          <w:rFonts w:hint="eastAsia" w:cs="Times New Roman"/>
          <w:kern w:val="2"/>
          <w:szCs w:val="21"/>
          <w:highlight w:val="none"/>
        </w:rPr>
        <w:t>号谈判文件、投标人谈判应答文件要求按期完成本项目咨询服务工作。</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2、负责组织项目的实施，保证工程进度和成桥荷载试验工作质量，并满足交通部交工验收相关标准。</w:t>
      </w:r>
    </w:p>
    <w:p>
      <w:pPr>
        <w:widowControl w:val="0"/>
        <w:shd w:val="clear" w:color="auto" w:fill="auto"/>
        <w:tabs>
          <w:tab w:val="clear" w:pos="426"/>
        </w:tabs>
        <w:adjustRightInd/>
        <w:snapToGrid/>
        <w:spacing w:line="240" w:lineRule="auto"/>
        <w:ind w:firstLine="420" w:firstLineChars="200"/>
        <w:rPr>
          <w:rFonts w:cs="Times New Roman"/>
          <w:color w:val="FF0000"/>
          <w:kern w:val="2"/>
          <w:szCs w:val="21"/>
          <w:highlight w:val="none"/>
        </w:rPr>
      </w:pPr>
      <w:r>
        <w:rPr>
          <w:rFonts w:hint="eastAsia" w:cs="Times New Roman"/>
          <w:kern w:val="2"/>
          <w:szCs w:val="21"/>
          <w:highlight w:val="none"/>
        </w:rPr>
        <w:t>3、</w:t>
      </w:r>
      <w:r>
        <w:rPr>
          <w:rFonts w:hint="eastAsia" w:cs="Times New Roman"/>
          <w:kern w:val="2"/>
          <w:highlight w:val="none"/>
        </w:rPr>
        <w:t>向甲方提交检测资料等各</w:t>
      </w:r>
      <w:r>
        <w:rPr>
          <w:rFonts w:hint="eastAsia" w:cs="Times New Roman"/>
          <w:kern w:val="2"/>
          <w:highlight w:val="none"/>
          <w:u w:val="single"/>
        </w:rPr>
        <w:t xml:space="preserve">      </w:t>
      </w:r>
      <w:r>
        <w:rPr>
          <w:rFonts w:hint="eastAsia" w:cs="Times New Roman"/>
          <w:kern w:val="2"/>
          <w:highlight w:val="none"/>
        </w:rPr>
        <w:t>套，一套电子版文件。</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4、在履行合同期间或合同规定期限内，不得泄露与本合同规定业务活动有关的保密资料。</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第八条  甲方的权利</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1</w:t>
      </w:r>
      <w:r>
        <w:rPr>
          <w:rFonts w:hint="eastAsia" w:cs="Times New Roman"/>
          <w:kern w:val="2"/>
          <w:szCs w:val="21"/>
          <w:highlight w:val="none"/>
        </w:rPr>
        <w:t>、有权向投标人询问工作进展情况及相关的内容。</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2</w:t>
      </w:r>
      <w:r>
        <w:rPr>
          <w:rFonts w:hint="eastAsia" w:cs="Times New Roman"/>
          <w:kern w:val="2"/>
          <w:szCs w:val="21"/>
          <w:highlight w:val="none"/>
        </w:rPr>
        <w:t>、有权阐述对具体问题的意见和建议。</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3</w:t>
      </w:r>
      <w:r>
        <w:rPr>
          <w:rFonts w:hint="eastAsia" w:cs="Times New Roman"/>
          <w:kern w:val="2"/>
          <w:szCs w:val="21"/>
          <w:highlight w:val="none"/>
        </w:rPr>
        <w:t>、当甲方认定投标人人员不按合同履行其职责，或与第三人串通给甲方造成经济损失的，甲方有权要求更换人员，直至终止合同并要求投标人承担相应的赔偿责任。</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第九条  投标人的权利</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1</w:t>
      </w:r>
      <w:r>
        <w:rPr>
          <w:rFonts w:hint="eastAsia" w:cs="Times New Roman"/>
          <w:kern w:val="2"/>
          <w:szCs w:val="21"/>
          <w:highlight w:val="none"/>
        </w:rPr>
        <w:t>、投标人在本项目服务过程中，如甲方提供的资料不明确时可向甲方提出书面报告。</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2</w:t>
      </w:r>
      <w:r>
        <w:rPr>
          <w:rFonts w:hint="eastAsia" w:cs="Times New Roman"/>
          <w:kern w:val="2"/>
          <w:szCs w:val="21"/>
          <w:highlight w:val="none"/>
        </w:rPr>
        <w:t>、投标人在本项目服务过程中，有权对第三方提出与本咨询服务业务有关的问题进行核对或查问。</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3</w:t>
      </w:r>
      <w:r>
        <w:rPr>
          <w:rFonts w:hint="eastAsia" w:cs="Times New Roman"/>
          <w:kern w:val="2"/>
          <w:szCs w:val="21"/>
          <w:highlight w:val="none"/>
        </w:rPr>
        <w:t>、投标人在本项目服务过程中，有到工程现场勘察的权利。</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第十条  甲方的责任</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1、应当履行本合同约定的义务，如有违反则应当承担违约责任，赔偿给投标人造成的损失。</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2、甲方向投标人提出赔偿要求不能成立时，则应补偿由于该赔偿或其他要求所导致投标人的各种费用的支出。</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第十一条  投标人的责任</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1、投标人的责任期即本合同有效期。如因非投标人的责任造成进度的推迟或延误而超过约定的日期，双方应进一步约定相应延长合同有效期。</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2、投标人的责任期内，应当履行本合同中约定的义务，因投标人的单方过失造成的经济损失，应当向甲方进行赔偿。</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3、投标人对甲方或第三方所提出的问题不能及时核对或答复，导致合同不能全部或部分履行，投标人应承担责任。</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4、投标人向甲方提出赔偿要求不能成立时，则应补偿由于该赔偿或其他要求所导致甲方的各种费用的支出。</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第十二条  人员要求</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1、参加本项目试验的人员必须具有国家和有关部门规定的相应资质。</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 参加本项目的试验人员的配置必须与谈判应答文件中的服务承诺书和试验服务组织实施方案一致。</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3、必须以直属试验人员参与本项目服务，不得使用挂靠队伍。</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第十三条  投标人咨询服务工具要求</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1、投标人应配备成交项目所需的足够数量的仪器、仪表以及工具等设备。用户不需向投标人提供施工工具和仪器、仪表。</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2、投标人在提供服务过程中应自备车辆。</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第十四条  保密要求</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1、</w:t>
      </w:r>
      <w:r>
        <w:rPr>
          <w:rFonts w:cs="Times New Roman"/>
          <w:kern w:val="2"/>
          <w:szCs w:val="21"/>
          <w:highlight w:val="none"/>
        </w:rPr>
        <w:t>由甲方收集的、开发的、整理的、复制的、研究的和准备的与本合同项下工作有关的所有资料在提供给投标人时，均被视为保密的，不得泄漏给除甲方或其指定的代表之外的任何人、企业或公司，不管本合同因何种原因终止，本条款一直约束投标人。</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w:t>
      </w:r>
      <w:r>
        <w:rPr>
          <w:rFonts w:cs="Times New Roman"/>
          <w:kern w:val="2"/>
          <w:szCs w:val="21"/>
          <w:highlight w:val="none"/>
        </w:rPr>
        <w:t>投标人在履行合同过程中所获得或接触到的任何</w:t>
      </w:r>
      <w:r>
        <w:rPr>
          <w:rFonts w:hint="eastAsia" w:cs="Times New Roman"/>
          <w:kern w:val="2"/>
          <w:szCs w:val="21"/>
          <w:highlight w:val="none"/>
        </w:rPr>
        <w:t>内部数据资料，未经甲方同意，不得向第三方透露。</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3、</w:t>
      </w:r>
      <w:r>
        <w:rPr>
          <w:rFonts w:cs="Times New Roman"/>
          <w:kern w:val="2"/>
          <w:szCs w:val="21"/>
          <w:highlight w:val="none"/>
        </w:rPr>
        <w:t>投标人</w:t>
      </w:r>
      <w:r>
        <w:rPr>
          <w:rFonts w:hint="eastAsia" w:cs="Times New Roman"/>
          <w:kern w:val="2"/>
          <w:szCs w:val="21"/>
          <w:highlight w:val="none"/>
        </w:rPr>
        <w:t>实施项目的一切程序都应符合国家安全、保密的有关规定和标准。</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4、</w:t>
      </w:r>
      <w:r>
        <w:rPr>
          <w:rFonts w:cs="Times New Roman"/>
          <w:kern w:val="2"/>
          <w:szCs w:val="21"/>
          <w:highlight w:val="none"/>
        </w:rPr>
        <w:t>投标人</w:t>
      </w:r>
      <w:r>
        <w:rPr>
          <w:rFonts w:hint="eastAsia" w:cs="Times New Roman"/>
          <w:kern w:val="2"/>
          <w:szCs w:val="21"/>
          <w:highlight w:val="none"/>
        </w:rPr>
        <w:t>参加项目的有关人员均需同甲方签订保密协议。</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 xml:space="preserve">第十五条  验收     </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1、下列文件的验收分为</w:t>
      </w:r>
      <w:r>
        <w:rPr>
          <w:rFonts w:hint="eastAsia" w:cs="Times New Roman"/>
          <w:kern w:val="2"/>
          <w:szCs w:val="21"/>
          <w:highlight w:val="none"/>
          <w:u w:val="single"/>
        </w:rPr>
        <w:t xml:space="preserve">          三</w:t>
      </w:r>
      <w:r>
        <w:rPr>
          <w:rFonts w:hint="eastAsia" w:cs="Times New Roman"/>
          <w:kern w:val="2"/>
          <w:szCs w:val="21"/>
          <w:highlight w:val="none"/>
        </w:rPr>
        <w:t>个阶段:</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2、其余文件和工作由用户组织有关技术人员根据国家和行业有关规范、规程、标准和用户需求直接验收。</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3、验收依据为</w:t>
      </w:r>
      <w:r>
        <w:rPr>
          <w:rFonts w:hint="eastAsia" w:cs="Times New Roman"/>
          <w:kern w:val="2"/>
          <w:szCs w:val="21"/>
          <w:highlight w:val="none"/>
          <w:u w:val="single"/>
        </w:rPr>
        <w:t xml:space="preserve">           </w:t>
      </w:r>
      <w:r>
        <w:rPr>
          <w:rFonts w:hint="eastAsia" w:cs="Times New Roman"/>
          <w:kern w:val="2"/>
          <w:szCs w:val="21"/>
          <w:highlight w:val="none"/>
        </w:rPr>
        <w:t>号谈判文件、投标人谈判应答文件，国家和行业有关规范、规程和标准。</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第十六条  付款方式</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1、合同签订后</w:t>
      </w:r>
      <w:r>
        <w:rPr>
          <w:rFonts w:hint="eastAsia" w:cs="Times New Roman"/>
          <w:kern w:val="2"/>
          <w:szCs w:val="21"/>
          <w:highlight w:val="none"/>
          <w:u w:val="single"/>
        </w:rPr>
        <w:t xml:space="preserve">     </w:t>
      </w:r>
      <w:r>
        <w:rPr>
          <w:rFonts w:hint="eastAsia" w:cs="Times New Roman"/>
          <w:kern w:val="2"/>
          <w:szCs w:val="21"/>
          <w:highlight w:val="none"/>
        </w:rPr>
        <w:t>天内，甲方向投标人支付合同总价</w:t>
      </w:r>
      <w:r>
        <w:rPr>
          <w:rFonts w:hint="eastAsia" w:cs="Times New Roman"/>
          <w:kern w:val="2"/>
          <w:szCs w:val="21"/>
          <w:highlight w:val="none"/>
          <w:u w:val="single"/>
        </w:rPr>
        <w:t xml:space="preserve">    </w:t>
      </w:r>
      <w:r>
        <w:rPr>
          <w:rFonts w:hint="eastAsia" w:cs="Times New Roman"/>
          <w:kern w:val="2"/>
          <w:szCs w:val="21"/>
          <w:highlight w:val="none"/>
        </w:rPr>
        <w:t>%的款项。</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2、检测完成并提交评估报告后，甲方向投标人支付合同总价</w:t>
      </w:r>
      <w:r>
        <w:rPr>
          <w:rFonts w:hint="eastAsia" w:cs="Times New Roman"/>
          <w:kern w:val="2"/>
          <w:szCs w:val="21"/>
          <w:highlight w:val="none"/>
          <w:u w:val="single"/>
        </w:rPr>
        <w:t xml:space="preserve">    </w:t>
      </w:r>
      <w:r>
        <w:rPr>
          <w:rFonts w:hint="eastAsia" w:cs="Times New Roman"/>
          <w:kern w:val="2"/>
          <w:szCs w:val="21"/>
          <w:highlight w:val="none"/>
        </w:rPr>
        <w:t>%的款项。</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3、报告通过专家评审后，甲方向投标人支付合同总价</w:t>
      </w:r>
      <w:r>
        <w:rPr>
          <w:rFonts w:hint="eastAsia" w:cs="Times New Roman"/>
          <w:kern w:val="2"/>
          <w:szCs w:val="21"/>
          <w:highlight w:val="none"/>
          <w:u w:val="single"/>
        </w:rPr>
        <w:t xml:space="preserve">    </w:t>
      </w:r>
      <w:r>
        <w:rPr>
          <w:rFonts w:hint="eastAsia" w:cs="Times New Roman"/>
          <w:kern w:val="2"/>
          <w:szCs w:val="21"/>
          <w:highlight w:val="none"/>
        </w:rPr>
        <w:t>%的款项。</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第十七条  争议解决办法</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执行本合同发生的争议，由甲乙双方协商解决。</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第十八条  风险责任</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１、投标人应完全地按照</w:t>
      </w:r>
      <w:r>
        <w:rPr>
          <w:rFonts w:hint="eastAsia" w:cs="Times New Roman"/>
          <w:kern w:val="2"/>
          <w:szCs w:val="21"/>
          <w:highlight w:val="none"/>
          <w:u w:val="single"/>
        </w:rPr>
        <w:t xml:space="preserve">           </w:t>
      </w:r>
      <w:r>
        <w:rPr>
          <w:rFonts w:hint="eastAsia" w:cs="Times New Roman"/>
          <w:kern w:val="2"/>
          <w:szCs w:val="21"/>
          <w:highlight w:val="none"/>
        </w:rPr>
        <w:t>号谈判文件的要求和投标人谈判应答文件的承诺完成本项目，出于自身财务、技术、人力等原因导致项目失败的，应承担全部责任。</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2、投标人在实施荷载试验过程中应对自身的安全生产负责，若由投标人原因发生的各种事故甲方不承担任何责任。</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第十九条  违约责任</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１、因投标人原因，未能按规定时间完成有关工作的，每延误一天，甲方可在支付合同余款中扣除合同价款千分之一。</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2、由于投标人原因造成试验成果质量低劣，不能满足大纲要求时，应继续完善试验工作，其费用由投标人承担。</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3、如投标人提供的咨询服务文件不符合质量要求，必须在甲方提出要求后7天内无条件修改，其费用由投标人承担。</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4、若甲方发现投标人派出的试验服务人员或提供的试验仪器设备不符合合同要求，投标人应在3天之内按要求派出人员或提供满足谈判应答文件承诺的仪器设备，否则甲方有权终止合同，并保留追究投标人责任及要求赔偿损失的权利。</w:t>
      </w:r>
    </w:p>
    <w:p>
      <w:pPr>
        <w:widowControl w:val="0"/>
        <w:shd w:val="clear" w:color="auto" w:fill="auto"/>
        <w:tabs>
          <w:tab w:val="clear" w:pos="426"/>
        </w:tabs>
        <w:adjustRightInd/>
        <w:snapToGrid/>
        <w:spacing w:line="240" w:lineRule="auto"/>
        <w:ind w:firstLine="422" w:firstLineChars="200"/>
        <w:rPr>
          <w:rFonts w:cs="Times New Roman"/>
          <w:b/>
          <w:bCs/>
          <w:kern w:val="2"/>
          <w:szCs w:val="21"/>
          <w:highlight w:val="none"/>
        </w:rPr>
      </w:pPr>
      <w:r>
        <w:rPr>
          <w:rFonts w:hint="eastAsia" w:cs="Times New Roman"/>
          <w:b/>
          <w:bCs/>
          <w:kern w:val="2"/>
          <w:szCs w:val="21"/>
          <w:highlight w:val="none"/>
        </w:rPr>
        <w:t>第二十条  其他</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1、本合同与</w:t>
      </w:r>
      <w:r>
        <w:rPr>
          <w:rFonts w:hint="eastAsia" w:cs="Times New Roman"/>
          <w:kern w:val="2"/>
          <w:szCs w:val="21"/>
          <w:highlight w:val="none"/>
          <w:u w:val="single"/>
        </w:rPr>
        <w:t xml:space="preserve">        </w:t>
      </w:r>
      <w:r>
        <w:rPr>
          <w:rFonts w:hint="eastAsia" w:cs="Times New Roman"/>
          <w:kern w:val="2"/>
          <w:szCs w:val="21"/>
          <w:highlight w:val="none"/>
        </w:rPr>
        <w:t>号谈判文件、投标人谈判应答文件如有抵触之处，以本合同条款为准。</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2、下列文件均为本合同的组成部分：</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（1）</w:t>
      </w:r>
      <w:r>
        <w:rPr>
          <w:rFonts w:hint="eastAsia" w:cs="Times New Roman"/>
          <w:kern w:val="2"/>
          <w:szCs w:val="21"/>
          <w:highlight w:val="none"/>
          <w:u w:val="single"/>
        </w:rPr>
        <w:t xml:space="preserve">         </w:t>
      </w:r>
      <w:r>
        <w:rPr>
          <w:rFonts w:hint="eastAsia" w:cs="Times New Roman"/>
          <w:kern w:val="2"/>
          <w:szCs w:val="21"/>
          <w:highlight w:val="none"/>
        </w:rPr>
        <w:t>号谈判文件、答疑及补充通知；</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（2）谈判应答文件；</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（3）本合同执行中共同签署的补充与修正文件。</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本合同一式</w:t>
      </w:r>
      <w:r>
        <w:rPr>
          <w:rFonts w:hint="eastAsia" w:cs="Times New Roman"/>
          <w:kern w:val="2"/>
          <w:szCs w:val="21"/>
          <w:highlight w:val="none"/>
          <w:u w:val="single"/>
        </w:rPr>
        <w:t xml:space="preserve">     </w:t>
      </w:r>
      <w:r>
        <w:rPr>
          <w:rFonts w:hint="eastAsia" w:cs="Times New Roman"/>
          <w:kern w:val="2"/>
          <w:szCs w:val="21"/>
          <w:highlight w:val="none"/>
        </w:rPr>
        <w:t>份，甲、投标人双方各执</w:t>
      </w:r>
      <w:r>
        <w:rPr>
          <w:rFonts w:hint="eastAsia" w:cs="Times New Roman"/>
          <w:kern w:val="2"/>
          <w:szCs w:val="21"/>
          <w:highlight w:val="none"/>
          <w:u w:val="single"/>
        </w:rPr>
        <w:t xml:space="preserve">     </w:t>
      </w:r>
      <w:r>
        <w:rPr>
          <w:rFonts w:hint="eastAsia" w:cs="Times New Roman"/>
          <w:kern w:val="2"/>
          <w:szCs w:val="21"/>
          <w:highlight w:val="none"/>
        </w:rPr>
        <w:t>份，具有同等法律效力。本合同自双方法人代表签字（盖章）认可之日起生效。</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本合同未尽事宜，双方友好协商，达成解决方案，经双方签字后，可作为本合同的有效附件。</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left="424" w:leftChars="202"/>
        <w:rPr>
          <w:rFonts w:cs="Times New Roman"/>
          <w:kern w:val="2"/>
          <w:szCs w:val="21"/>
          <w:highlight w:val="none"/>
          <w:u w:val="single"/>
        </w:rPr>
      </w:pPr>
      <w:r>
        <w:rPr>
          <w:rFonts w:hint="eastAsia" w:cs="Times New Roman"/>
          <w:kern w:val="2"/>
          <w:szCs w:val="21"/>
          <w:highlight w:val="none"/>
        </w:rPr>
        <w:t>甲方：</w:t>
      </w:r>
      <w:r>
        <w:rPr>
          <w:rFonts w:hint="eastAsia" w:cs="Times New Roman"/>
          <w:kern w:val="2"/>
          <w:szCs w:val="21"/>
          <w:highlight w:val="none"/>
          <w:u w:val="single"/>
        </w:rPr>
        <w:t xml:space="preserve">                                </w:t>
      </w:r>
      <w:r>
        <w:rPr>
          <w:rFonts w:hint="eastAsia" w:cs="Times New Roman"/>
          <w:kern w:val="2"/>
          <w:szCs w:val="21"/>
          <w:highlight w:val="none"/>
        </w:rPr>
        <w:t xml:space="preserve">    投标人：</w:t>
      </w:r>
      <w:r>
        <w:rPr>
          <w:rFonts w:hint="eastAsia" w:cs="Times New Roman"/>
          <w:kern w:val="2"/>
          <w:szCs w:val="21"/>
          <w:highlight w:val="none"/>
          <w:u w:val="single"/>
        </w:rPr>
        <w:t xml:space="preserve">                            </w:t>
      </w:r>
    </w:p>
    <w:p>
      <w:pPr>
        <w:widowControl w:val="0"/>
        <w:shd w:val="clear" w:color="auto" w:fill="auto"/>
        <w:tabs>
          <w:tab w:val="clear" w:pos="426"/>
        </w:tabs>
        <w:adjustRightInd/>
        <w:snapToGrid/>
        <w:spacing w:line="240" w:lineRule="auto"/>
        <w:ind w:left="424" w:leftChars="202"/>
        <w:rPr>
          <w:rFonts w:cs="Times New Roman"/>
          <w:kern w:val="2"/>
          <w:szCs w:val="21"/>
          <w:highlight w:val="none"/>
        </w:rPr>
      </w:pPr>
      <w:r>
        <w:rPr>
          <w:rFonts w:hint="eastAsia" w:cs="Times New Roman"/>
          <w:kern w:val="2"/>
          <w:szCs w:val="21"/>
          <w:highlight w:val="none"/>
        </w:rPr>
        <w:t xml:space="preserve">（签章）                 </w:t>
      </w:r>
      <w:r>
        <w:rPr>
          <w:rFonts w:cs="Times New Roman"/>
          <w:kern w:val="2"/>
          <w:szCs w:val="21"/>
          <w:highlight w:val="none"/>
        </w:rPr>
        <w:t xml:space="preserve">        </w:t>
      </w:r>
      <w:r>
        <w:rPr>
          <w:rFonts w:hint="eastAsia" w:cs="Times New Roman"/>
          <w:kern w:val="2"/>
          <w:szCs w:val="21"/>
          <w:highlight w:val="none"/>
        </w:rPr>
        <w:t xml:space="preserve">        （签章）</w:t>
      </w:r>
    </w:p>
    <w:p>
      <w:pPr>
        <w:widowControl w:val="0"/>
        <w:shd w:val="clear" w:color="auto" w:fill="auto"/>
        <w:tabs>
          <w:tab w:val="clear" w:pos="426"/>
        </w:tabs>
        <w:adjustRightInd/>
        <w:snapToGrid/>
        <w:spacing w:line="240" w:lineRule="auto"/>
        <w:ind w:left="424" w:leftChars="202"/>
        <w:rPr>
          <w:rFonts w:cs="Times New Roman"/>
          <w:kern w:val="2"/>
          <w:szCs w:val="21"/>
          <w:highlight w:val="none"/>
        </w:rPr>
      </w:pPr>
    </w:p>
    <w:p>
      <w:pPr>
        <w:widowControl w:val="0"/>
        <w:shd w:val="clear" w:color="auto" w:fill="auto"/>
        <w:tabs>
          <w:tab w:val="clear" w:pos="426"/>
        </w:tabs>
        <w:adjustRightInd/>
        <w:snapToGrid/>
        <w:spacing w:line="240" w:lineRule="auto"/>
        <w:ind w:left="424" w:leftChars="202"/>
        <w:rPr>
          <w:rFonts w:cs="Times New Roman"/>
          <w:kern w:val="2"/>
          <w:szCs w:val="21"/>
          <w:highlight w:val="none"/>
        </w:rPr>
      </w:pPr>
      <w:r>
        <w:rPr>
          <w:rFonts w:hint="eastAsia" w:cs="Times New Roman"/>
          <w:kern w:val="2"/>
          <w:szCs w:val="21"/>
          <w:highlight w:val="none"/>
        </w:rPr>
        <w:t>地址：</w:t>
      </w:r>
      <w:r>
        <w:rPr>
          <w:rFonts w:cs="Times New Roman"/>
          <w:kern w:val="2"/>
          <w:szCs w:val="21"/>
          <w:highlight w:val="none"/>
        </w:rPr>
        <w:t>________________________________</w:t>
      </w:r>
      <w:r>
        <w:rPr>
          <w:rFonts w:hint="eastAsia" w:cs="Times New Roman"/>
          <w:kern w:val="2"/>
          <w:szCs w:val="21"/>
          <w:highlight w:val="none"/>
        </w:rPr>
        <w:t>地址：</w:t>
      </w:r>
      <w:r>
        <w:rPr>
          <w:rFonts w:cs="Times New Roman"/>
          <w:kern w:val="2"/>
          <w:szCs w:val="21"/>
          <w:highlight w:val="none"/>
        </w:rPr>
        <w:t>________________________________</w:t>
      </w:r>
    </w:p>
    <w:p>
      <w:pPr>
        <w:widowControl w:val="0"/>
        <w:shd w:val="clear" w:color="auto" w:fill="auto"/>
        <w:tabs>
          <w:tab w:val="clear" w:pos="426"/>
        </w:tabs>
        <w:adjustRightInd/>
        <w:snapToGrid/>
        <w:spacing w:line="240" w:lineRule="auto"/>
        <w:ind w:left="424" w:leftChars="202"/>
        <w:rPr>
          <w:rFonts w:cs="Times New Roman"/>
          <w:kern w:val="2"/>
          <w:szCs w:val="21"/>
          <w:highlight w:val="none"/>
        </w:rPr>
      </w:pPr>
      <w:r>
        <w:rPr>
          <w:rFonts w:hint="eastAsia" w:cs="Times New Roman"/>
          <w:kern w:val="2"/>
          <w:szCs w:val="21"/>
          <w:highlight w:val="none"/>
        </w:rPr>
        <w:t>法定代表人：（签章）</w:t>
      </w:r>
      <w:r>
        <w:rPr>
          <w:rFonts w:cs="Times New Roman"/>
          <w:kern w:val="2"/>
          <w:szCs w:val="21"/>
          <w:highlight w:val="none"/>
        </w:rPr>
        <w:t>___________________</w:t>
      </w:r>
      <w:r>
        <w:rPr>
          <w:rFonts w:hint="eastAsia" w:cs="Times New Roman"/>
          <w:kern w:val="2"/>
          <w:szCs w:val="21"/>
          <w:highlight w:val="none"/>
        </w:rPr>
        <w:t>法定代表人：（签章）_</w:t>
      </w:r>
      <w:r>
        <w:rPr>
          <w:rFonts w:cs="Times New Roman"/>
          <w:kern w:val="2"/>
          <w:szCs w:val="21"/>
          <w:highlight w:val="none"/>
        </w:rPr>
        <w:t>__________________</w:t>
      </w:r>
    </w:p>
    <w:p>
      <w:pPr>
        <w:widowControl w:val="0"/>
        <w:shd w:val="clear" w:color="auto" w:fill="auto"/>
        <w:tabs>
          <w:tab w:val="clear" w:pos="426"/>
        </w:tabs>
        <w:adjustRightInd/>
        <w:snapToGrid/>
        <w:spacing w:line="240" w:lineRule="auto"/>
        <w:ind w:left="424" w:leftChars="202"/>
        <w:rPr>
          <w:rFonts w:cs="Times New Roman"/>
          <w:kern w:val="2"/>
          <w:szCs w:val="21"/>
          <w:highlight w:val="none"/>
        </w:rPr>
      </w:pPr>
      <w:r>
        <w:rPr>
          <w:rFonts w:hint="eastAsia" w:cs="Times New Roman"/>
          <w:kern w:val="2"/>
          <w:szCs w:val="21"/>
          <w:highlight w:val="none"/>
        </w:rPr>
        <w:t>开户行：</w:t>
      </w:r>
      <w:r>
        <w:rPr>
          <w:rFonts w:cs="Times New Roman"/>
          <w:kern w:val="2"/>
          <w:szCs w:val="21"/>
          <w:highlight w:val="none"/>
        </w:rPr>
        <w:t>______________________________</w:t>
      </w:r>
      <w:r>
        <w:rPr>
          <w:rFonts w:hint="eastAsia" w:cs="Times New Roman"/>
          <w:kern w:val="2"/>
          <w:szCs w:val="21"/>
          <w:highlight w:val="none"/>
        </w:rPr>
        <w:t>开户行：_</w:t>
      </w:r>
      <w:r>
        <w:rPr>
          <w:rFonts w:cs="Times New Roman"/>
          <w:kern w:val="2"/>
          <w:szCs w:val="21"/>
          <w:highlight w:val="none"/>
        </w:rPr>
        <w:t>_____________________________</w:t>
      </w:r>
    </w:p>
    <w:p>
      <w:pPr>
        <w:widowControl w:val="0"/>
        <w:shd w:val="clear" w:color="auto" w:fill="auto"/>
        <w:tabs>
          <w:tab w:val="clear" w:pos="426"/>
        </w:tabs>
        <w:adjustRightInd/>
        <w:snapToGrid/>
        <w:spacing w:line="240" w:lineRule="auto"/>
        <w:ind w:left="424" w:leftChars="202"/>
        <w:rPr>
          <w:rFonts w:cs="Times New Roman"/>
          <w:kern w:val="2"/>
          <w:szCs w:val="21"/>
          <w:highlight w:val="none"/>
        </w:rPr>
      </w:pPr>
      <w:r>
        <w:rPr>
          <w:rFonts w:hint="eastAsia" w:cs="Times New Roman"/>
          <w:kern w:val="2"/>
          <w:szCs w:val="21"/>
          <w:highlight w:val="none"/>
        </w:rPr>
        <w:t>人民币帐号：</w:t>
      </w:r>
      <w:r>
        <w:rPr>
          <w:rFonts w:cs="Times New Roman"/>
          <w:kern w:val="2"/>
          <w:szCs w:val="21"/>
          <w:highlight w:val="none"/>
        </w:rPr>
        <w:t>__________________________</w:t>
      </w:r>
      <w:r>
        <w:rPr>
          <w:rFonts w:hint="eastAsia" w:cs="Times New Roman"/>
          <w:kern w:val="2"/>
          <w:szCs w:val="21"/>
          <w:highlight w:val="none"/>
        </w:rPr>
        <w:t>人民币帐号：_</w:t>
      </w:r>
      <w:r>
        <w:rPr>
          <w:rFonts w:cs="Times New Roman"/>
          <w:kern w:val="2"/>
          <w:szCs w:val="21"/>
          <w:highlight w:val="none"/>
        </w:rPr>
        <w:t>_________________________</w:t>
      </w:r>
    </w:p>
    <w:p>
      <w:pPr>
        <w:widowControl w:val="0"/>
        <w:shd w:val="clear" w:color="auto" w:fill="auto"/>
        <w:tabs>
          <w:tab w:val="clear" w:pos="426"/>
        </w:tabs>
        <w:adjustRightInd/>
        <w:snapToGrid/>
        <w:spacing w:line="240" w:lineRule="auto"/>
        <w:ind w:left="424" w:leftChars="202"/>
        <w:rPr>
          <w:rFonts w:cs="Times New Roman"/>
          <w:kern w:val="2"/>
          <w:szCs w:val="21"/>
          <w:highlight w:val="none"/>
        </w:rPr>
      </w:pPr>
      <w:r>
        <w:rPr>
          <w:rFonts w:hint="eastAsia" w:cs="Times New Roman"/>
          <w:kern w:val="2"/>
          <w:szCs w:val="21"/>
          <w:highlight w:val="none"/>
        </w:rPr>
        <w:t>联系人：</w:t>
      </w:r>
      <w:r>
        <w:rPr>
          <w:rFonts w:cs="Times New Roman"/>
          <w:kern w:val="2"/>
          <w:szCs w:val="21"/>
          <w:highlight w:val="none"/>
        </w:rPr>
        <w:t>______________________________</w:t>
      </w:r>
      <w:r>
        <w:rPr>
          <w:rFonts w:hint="eastAsia" w:cs="Times New Roman"/>
          <w:kern w:val="2"/>
          <w:szCs w:val="21"/>
          <w:highlight w:val="none"/>
        </w:rPr>
        <w:t>联系人：_</w:t>
      </w:r>
      <w:r>
        <w:rPr>
          <w:rFonts w:cs="Times New Roman"/>
          <w:kern w:val="2"/>
          <w:szCs w:val="21"/>
          <w:highlight w:val="none"/>
        </w:rPr>
        <w:t>_____________________________</w:t>
      </w:r>
    </w:p>
    <w:p>
      <w:pPr>
        <w:widowControl w:val="0"/>
        <w:shd w:val="clear" w:color="auto" w:fill="auto"/>
        <w:tabs>
          <w:tab w:val="clear" w:pos="426"/>
        </w:tabs>
        <w:adjustRightInd/>
        <w:snapToGrid/>
        <w:spacing w:line="240" w:lineRule="auto"/>
        <w:ind w:left="424" w:leftChars="202"/>
        <w:rPr>
          <w:rFonts w:cs="Times New Roman"/>
          <w:kern w:val="2"/>
          <w:szCs w:val="21"/>
          <w:highlight w:val="none"/>
        </w:rPr>
      </w:pPr>
      <w:r>
        <w:rPr>
          <w:rFonts w:hint="eastAsia" w:cs="Times New Roman"/>
          <w:kern w:val="2"/>
          <w:szCs w:val="21"/>
          <w:highlight w:val="none"/>
        </w:rPr>
        <w:t>电话：</w:t>
      </w:r>
      <w:r>
        <w:rPr>
          <w:rFonts w:cs="Times New Roman"/>
          <w:kern w:val="2"/>
          <w:szCs w:val="21"/>
          <w:highlight w:val="none"/>
        </w:rPr>
        <w:t>________________________________</w:t>
      </w:r>
      <w:r>
        <w:rPr>
          <w:rFonts w:hint="eastAsia" w:cs="Times New Roman"/>
          <w:kern w:val="2"/>
          <w:szCs w:val="21"/>
          <w:highlight w:val="none"/>
        </w:rPr>
        <w:t>电话：_</w:t>
      </w:r>
      <w:r>
        <w:rPr>
          <w:rFonts w:cs="Times New Roman"/>
          <w:kern w:val="2"/>
          <w:szCs w:val="21"/>
          <w:highlight w:val="none"/>
        </w:rPr>
        <w:t>_______________________________</w:t>
      </w:r>
    </w:p>
    <w:p>
      <w:pPr>
        <w:widowControl w:val="0"/>
        <w:shd w:val="clear" w:color="auto" w:fill="auto"/>
        <w:tabs>
          <w:tab w:val="clear" w:pos="426"/>
        </w:tabs>
        <w:adjustRightInd/>
        <w:snapToGrid/>
        <w:spacing w:line="240" w:lineRule="auto"/>
        <w:ind w:left="424" w:leftChars="202"/>
        <w:rPr>
          <w:rFonts w:cs="Times New Roman"/>
          <w:kern w:val="2"/>
          <w:szCs w:val="21"/>
          <w:highlight w:val="none"/>
        </w:rPr>
      </w:pPr>
      <w:r>
        <w:rPr>
          <w:rFonts w:hint="eastAsia" w:cs="Times New Roman"/>
          <w:kern w:val="2"/>
          <w:szCs w:val="21"/>
          <w:highlight w:val="none"/>
        </w:rPr>
        <w:t>日期：</w:t>
      </w:r>
      <w:r>
        <w:rPr>
          <w:rFonts w:cs="Times New Roman"/>
          <w:kern w:val="2"/>
          <w:szCs w:val="21"/>
          <w:highlight w:val="none"/>
        </w:rPr>
        <w:t>________________________________</w:t>
      </w:r>
      <w:r>
        <w:rPr>
          <w:rFonts w:hint="eastAsia" w:cs="Times New Roman"/>
          <w:kern w:val="2"/>
          <w:szCs w:val="21"/>
          <w:highlight w:val="none"/>
        </w:rPr>
        <w:t>日期：_</w:t>
      </w:r>
      <w:r>
        <w:rPr>
          <w:rFonts w:cs="Times New Roman"/>
          <w:kern w:val="2"/>
          <w:szCs w:val="21"/>
          <w:highlight w:val="none"/>
        </w:rPr>
        <w:t>_______________________________</w:t>
      </w:r>
    </w:p>
    <w:p>
      <w:pPr>
        <w:widowControl w:val="0"/>
        <w:shd w:val="clear" w:color="auto" w:fill="auto"/>
        <w:tabs>
          <w:tab w:val="clear" w:pos="426"/>
        </w:tabs>
        <w:adjustRightInd/>
        <w:snapToGrid/>
        <w:spacing w:line="240" w:lineRule="auto"/>
        <w:ind w:left="424" w:leftChars="202"/>
        <w:rPr>
          <w:rFonts w:cs="Times New Roman"/>
          <w:kern w:val="2"/>
          <w:szCs w:val="21"/>
          <w:highlight w:val="none"/>
        </w:rPr>
      </w:pPr>
    </w:p>
    <w:p>
      <w:pPr>
        <w:widowControl w:val="0"/>
        <w:shd w:val="clear" w:color="auto" w:fill="auto"/>
        <w:tabs>
          <w:tab w:val="clear" w:pos="426"/>
        </w:tabs>
        <w:adjustRightInd/>
        <w:snapToGrid/>
        <w:spacing w:line="240" w:lineRule="auto"/>
        <w:ind w:left="424" w:leftChars="202"/>
        <w:rPr>
          <w:rFonts w:cs="Times New Roman"/>
          <w:kern w:val="2"/>
          <w:szCs w:val="21"/>
          <w:highlight w:val="none"/>
        </w:rPr>
      </w:pPr>
    </w:p>
    <w:p>
      <w:pPr>
        <w:widowControl w:val="0"/>
        <w:shd w:val="clear" w:color="auto" w:fill="auto"/>
        <w:tabs>
          <w:tab w:val="clear" w:pos="426"/>
        </w:tabs>
        <w:adjustRightInd/>
        <w:snapToGrid/>
        <w:spacing w:line="240" w:lineRule="auto"/>
        <w:ind w:left="424" w:leftChars="202"/>
        <w:rPr>
          <w:rFonts w:ascii="Times New Roman" w:hAnsi="Times New Roman" w:cs="Times New Roman"/>
          <w:b/>
          <w:color w:val="000000"/>
          <w:kern w:val="2"/>
          <w:szCs w:val="21"/>
          <w:highlight w:val="none"/>
        </w:rPr>
      </w:pPr>
    </w:p>
    <w:p>
      <w:pPr>
        <w:shd w:val="clear" w:color="auto" w:fill="auto"/>
        <w:tabs>
          <w:tab w:val="clear" w:pos="426"/>
        </w:tabs>
        <w:adjustRightInd/>
        <w:snapToGrid/>
        <w:spacing w:line="240" w:lineRule="auto"/>
        <w:jc w:val="left"/>
        <w:rPr>
          <w:color w:val="000000"/>
          <w:sz w:val="24"/>
          <w:highlight w:val="none"/>
        </w:rPr>
      </w:pPr>
      <w:r>
        <w:rPr>
          <w:color w:val="000000"/>
          <w:sz w:val="24"/>
          <w:highlight w:val="none"/>
        </w:rPr>
        <w:br w:type="page"/>
      </w:r>
    </w:p>
    <w:p>
      <w:pPr>
        <w:tabs>
          <w:tab w:val="clear" w:pos="426"/>
        </w:tabs>
        <w:jc w:val="center"/>
        <w:rPr>
          <w:b/>
          <w:sz w:val="24"/>
          <w:highlight w:val="none"/>
        </w:rPr>
      </w:pPr>
    </w:p>
    <w:p>
      <w:pPr>
        <w:tabs>
          <w:tab w:val="clear" w:pos="426"/>
        </w:tabs>
        <w:jc w:val="center"/>
        <w:rPr>
          <w:b/>
          <w:sz w:val="24"/>
          <w:highlight w:val="none"/>
        </w:rPr>
      </w:pPr>
      <w:r>
        <w:rPr>
          <w:rFonts w:hint="eastAsia"/>
          <w:b/>
          <w:sz w:val="24"/>
          <w:highlight w:val="none"/>
        </w:rPr>
        <w:t>三、履约担保</w:t>
      </w:r>
    </w:p>
    <w:p>
      <w:pPr>
        <w:tabs>
          <w:tab w:val="clear" w:pos="426"/>
        </w:tabs>
        <w:ind w:left="6094" w:leftChars="2902"/>
        <w:rPr>
          <w:sz w:val="22"/>
          <w:szCs w:val="22"/>
          <w:highlight w:val="none"/>
        </w:rPr>
      </w:pPr>
    </w:p>
    <w:p>
      <w:pPr>
        <w:tabs>
          <w:tab w:val="clear" w:pos="426"/>
        </w:tabs>
        <w:ind w:left="5811" w:leftChars="2767"/>
        <w:rPr>
          <w:highlight w:val="none"/>
          <w:u w:val="none"/>
        </w:rPr>
      </w:pPr>
      <w:r>
        <w:rPr>
          <w:rFonts w:hint="eastAsia"/>
          <w:sz w:val="22"/>
          <w:szCs w:val="22"/>
          <w:highlight w:val="none"/>
          <w:u w:val="none"/>
        </w:rPr>
        <w:t>保函编号：____________________</w:t>
      </w:r>
    </w:p>
    <w:p>
      <w:pPr>
        <w:tabs>
          <w:tab w:val="clear" w:pos="426"/>
        </w:tabs>
        <w:rPr>
          <w:sz w:val="22"/>
          <w:szCs w:val="22"/>
          <w:highlight w:val="none"/>
          <w:u w:val="none"/>
        </w:rPr>
      </w:pPr>
      <w:r>
        <w:rPr>
          <w:rFonts w:hint="eastAsia"/>
          <w:sz w:val="22"/>
          <w:szCs w:val="22"/>
          <w:highlight w:val="none"/>
          <w:u w:val="none"/>
        </w:rPr>
        <w:t>致：__</w:t>
      </w:r>
      <w:r>
        <w:rPr>
          <w:rFonts w:hint="eastAsia"/>
          <w:highlight w:val="none"/>
          <w:u w:val="none"/>
        </w:rPr>
        <w:t>_______________</w:t>
      </w:r>
      <w:r>
        <w:rPr>
          <w:rFonts w:hint="eastAsia"/>
          <w:sz w:val="22"/>
          <w:szCs w:val="22"/>
          <w:highlight w:val="none"/>
          <w:u w:val="none"/>
        </w:rPr>
        <w:t xml:space="preserve">_: </w:t>
      </w:r>
    </w:p>
    <w:p>
      <w:pPr>
        <w:tabs>
          <w:tab w:val="clear" w:pos="426"/>
        </w:tabs>
        <w:rPr>
          <w:highlight w:val="none"/>
          <w:u w:val="none"/>
        </w:rPr>
      </w:pPr>
      <w:r>
        <w:rPr>
          <w:rFonts w:hint="eastAsia"/>
          <w:highlight w:val="none"/>
          <w:u w:val="none"/>
        </w:rPr>
        <w:t>鉴于 _____（被保护人)_______已于贵方签订了__（项目名称）（采购项目编号：______）__的__（采购合同名称）__采购合同（下称合同)，工期自_______年___月___日至_______年___月___日。我方接受被保证人的委托，在此向受益人提供不可撤销的履约保函：</w:t>
      </w:r>
    </w:p>
    <w:p>
      <w:pPr>
        <w:tabs>
          <w:tab w:val="clear" w:pos="426"/>
        </w:tabs>
        <w:rPr>
          <w:highlight w:val="none"/>
          <w:u w:val="none"/>
        </w:rPr>
      </w:pPr>
      <w:r>
        <w:rPr>
          <w:rFonts w:hint="eastAsia"/>
          <w:highlight w:val="none"/>
          <w:u w:val="none"/>
        </w:rPr>
        <w:t>1．本保证担保的最高担保金额为人民币___</w:t>
      </w:r>
      <w:r>
        <w:rPr>
          <w:highlight w:val="none"/>
          <w:u w:val="none"/>
        </w:rPr>
        <w:t>__</w:t>
      </w:r>
      <w:r>
        <w:rPr>
          <w:rFonts w:hint="eastAsia"/>
          <w:highlight w:val="none"/>
          <w:u w:val="none"/>
        </w:rPr>
        <w:t>（小写)</w:t>
      </w:r>
      <w:r>
        <w:rPr>
          <w:highlight w:val="none"/>
          <w:u w:val="none"/>
        </w:rPr>
        <w:t>__</w:t>
      </w:r>
      <w:r>
        <w:rPr>
          <w:rFonts w:hint="eastAsia"/>
          <w:highlight w:val="none"/>
          <w:u w:val="none"/>
        </w:rPr>
        <w:t>____元（_</w:t>
      </w:r>
      <w:r>
        <w:rPr>
          <w:highlight w:val="none"/>
          <w:u w:val="none"/>
        </w:rPr>
        <w:t>__</w:t>
      </w:r>
      <w:r>
        <w:rPr>
          <w:rFonts w:hint="eastAsia"/>
          <w:highlight w:val="none"/>
          <w:u w:val="none"/>
        </w:rPr>
        <w:t>__（大写)</w:t>
      </w:r>
      <w:r>
        <w:rPr>
          <w:highlight w:val="none"/>
          <w:u w:val="none"/>
        </w:rPr>
        <w:t>_</w:t>
      </w:r>
      <w:r>
        <w:rPr>
          <w:rFonts w:hint="eastAsia"/>
          <w:highlight w:val="none"/>
          <w:u w:val="none"/>
        </w:rPr>
        <w:t>_____元）。</w:t>
      </w:r>
    </w:p>
    <w:p>
      <w:pPr>
        <w:tabs>
          <w:tab w:val="clear" w:pos="426"/>
        </w:tabs>
        <w:rPr>
          <w:highlight w:val="none"/>
          <w:u w:val="none"/>
        </w:rPr>
      </w:pPr>
      <w:r>
        <w:rPr>
          <w:rFonts w:hint="eastAsia"/>
          <w:highlight w:val="none"/>
          <w:u w:val="none"/>
        </w:rPr>
        <w:t>2．本保证担保的保证期间自________年____月___日至________年___月___日。</w:t>
      </w:r>
    </w:p>
    <w:p>
      <w:pPr>
        <w:tabs>
          <w:tab w:val="clear" w:pos="426"/>
        </w:tabs>
        <w:rPr>
          <w:highlight w:val="none"/>
          <w:u w:val="none"/>
        </w:rPr>
      </w:pPr>
      <w:r>
        <w:rPr>
          <w:rFonts w:hint="eastAsia"/>
          <w:highlight w:val="none"/>
          <w:u w:val="none"/>
        </w:rPr>
        <w:t>3．在本保证担保的保证期间内，我方将在收到______（受益人）_____法定代表人或其授权委托代理人签字确认并加盖公章的书面索赔通知后_____个工作日内，不争辩、不挑剔、不可撤销地向受益人支付索赔款，直至本保证的最高担保金额。</w:t>
      </w:r>
    </w:p>
    <w:p>
      <w:pPr>
        <w:tabs>
          <w:tab w:val="clear" w:pos="426"/>
        </w:tabs>
        <w:rPr>
          <w:highlight w:val="none"/>
          <w:u w:val="none"/>
        </w:rPr>
      </w:pPr>
      <w:r>
        <w:rPr>
          <w:rFonts w:hint="eastAsia"/>
          <w:highlight w:val="none"/>
          <w:u w:val="none"/>
        </w:rPr>
        <w:t>4．索赔通知应当说明索赔理由、索赔款额的计算方法，并必须在本保证担保的保证期间内送达我方。</w:t>
      </w:r>
    </w:p>
    <w:p>
      <w:pPr>
        <w:tabs>
          <w:tab w:val="clear" w:pos="426"/>
        </w:tabs>
        <w:rPr>
          <w:highlight w:val="none"/>
          <w:u w:val="none"/>
        </w:rPr>
      </w:pPr>
      <w:r>
        <w:rPr>
          <w:rFonts w:hint="eastAsia"/>
          <w:highlight w:val="none"/>
          <w:u w:val="none"/>
        </w:rPr>
        <w:t>5．本保证担保项下的权利不得转让。</w:t>
      </w:r>
    </w:p>
    <w:p>
      <w:pPr>
        <w:tabs>
          <w:tab w:val="clear" w:pos="426"/>
        </w:tabs>
        <w:rPr>
          <w:highlight w:val="none"/>
          <w:u w:val="none"/>
        </w:rPr>
      </w:pPr>
      <w:r>
        <w:rPr>
          <w:rFonts w:hint="eastAsia"/>
          <w:highlight w:val="none"/>
          <w:u w:val="none"/>
        </w:rPr>
        <w:t>6．我方提供本保证担保后，受益人与被保证人对合同进行修订的，应当将修订后的合同原件送我方备案。</w:t>
      </w:r>
    </w:p>
    <w:p>
      <w:pPr>
        <w:tabs>
          <w:tab w:val="clear" w:pos="426"/>
        </w:tabs>
        <w:rPr>
          <w:highlight w:val="none"/>
          <w:u w:val="none"/>
        </w:rPr>
      </w:pPr>
      <w:r>
        <w:rPr>
          <w:rFonts w:hint="eastAsia"/>
          <w:highlight w:val="none"/>
          <w:u w:val="none"/>
        </w:rPr>
        <w:t>7．本保证担保的保证期间届满，或我方向受益人支付的索赔款已达本保证担保的最高担保金额，我方的保证责任免除。</w:t>
      </w:r>
    </w:p>
    <w:p>
      <w:pPr>
        <w:tabs>
          <w:tab w:val="clear" w:pos="426"/>
        </w:tabs>
        <w:rPr>
          <w:highlight w:val="none"/>
          <w:u w:val="none"/>
        </w:rPr>
      </w:pPr>
      <w:r>
        <w:rPr>
          <w:rFonts w:hint="eastAsia"/>
          <w:highlight w:val="none"/>
          <w:u w:val="none"/>
        </w:rPr>
        <w:t>8．本保证担保适用中华人民共和国法律。</w:t>
      </w:r>
    </w:p>
    <w:p>
      <w:pPr>
        <w:tabs>
          <w:tab w:val="clear" w:pos="426"/>
        </w:tabs>
        <w:rPr>
          <w:highlight w:val="none"/>
          <w:u w:val="none"/>
        </w:rPr>
      </w:pPr>
      <w:r>
        <w:rPr>
          <w:rFonts w:hint="eastAsia"/>
          <w:highlight w:val="none"/>
          <w:u w:val="none"/>
        </w:rPr>
        <w:t>9．本保证担保以中文文本为准，涂改无效。</w:t>
      </w:r>
    </w:p>
    <w:p>
      <w:pPr>
        <w:tabs>
          <w:tab w:val="clear" w:pos="426"/>
        </w:tabs>
        <w:rPr>
          <w:highlight w:val="none"/>
          <w:u w:val="none"/>
        </w:rPr>
      </w:pPr>
    </w:p>
    <w:p>
      <w:pPr>
        <w:tabs>
          <w:tab w:val="clear" w:pos="426"/>
        </w:tabs>
        <w:rPr>
          <w:highlight w:val="none"/>
          <w:u w:val="none"/>
        </w:rPr>
      </w:pPr>
      <w:r>
        <w:rPr>
          <w:rFonts w:hint="eastAsia"/>
          <w:highlight w:val="none"/>
          <w:u w:val="none"/>
        </w:rPr>
        <w:t>（本保函失效后，请将原件退回我方注销)</w:t>
      </w:r>
    </w:p>
    <w:p>
      <w:pPr>
        <w:tabs>
          <w:tab w:val="clear" w:pos="426"/>
        </w:tabs>
        <w:rPr>
          <w:highlight w:val="none"/>
          <w:u w:val="none"/>
        </w:rPr>
      </w:pPr>
    </w:p>
    <w:p>
      <w:pPr>
        <w:tabs>
          <w:tab w:val="clear" w:pos="426"/>
        </w:tabs>
        <w:rPr>
          <w:highlight w:val="none"/>
          <w:u w:val="none"/>
        </w:rPr>
      </w:pPr>
      <w:r>
        <w:rPr>
          <w:rFonts w:hint="eastAsia"/>
          <w:highlight w:val="none"/>
          <w:u w:val="none"/>
        </w:rPr>
        <w:t>保证人名称（公章)：____________________________________</w:t>
      </w:r>
    </w:p>
    <w:p>
      <w:pPr>
        <w:tabs>
          <w:tab w:val="clear" w:pos="426"/>
        </w:tabs>
        <w:rPr>
          <w:highlight w:val="none"/>
          <w:u w:val="none"/>
        </w:rPr>
      </w:pPr>
      <w:r>
        <w:rPr>
          <w:rFonts w:hint="eastAsia"/>
          <w:highlight w:val="none"/>
          <w:u w:val="none"/>
        </w:rPr>
        <w:t>法定代表人或委托代理人（签字)：________________________</w:t>
      </w:r>
    </w:p>
    <w:p>
      <w:pPr>
        <w:tabs>
          <w:tab w:val="clear" w:pos="426"/>
        </w:tabs>
        <w:rPr>
          <w:highlight w:val="none"/>
          <w:u w:val="none"/>
        </w:rPr>
      </w:pPr>
      <w:r>
        <w:rPr>
          <w:rFonts w:hint="eastAsia"/>
          <w:highlight w:val="none"/>
          <w:u w:val="none"/>
        </w:rPr>
        <w:t>单位地址：_____________________________________________</w:t>
      </w:r>
    </w:p>
    <w:p>
      <w:pPr>
        <w:tabs>
          <w:tab w:val="clear" w:pos="426"/>
        </w:tabs>
        <w:rPr>
          <w:highlight w:val="none"/>
          <w:u w:val="none"/>
        </w:rPr>
      </w:pPr>
      <w:r>
        <w:rPr>
          <w:rFonts w:hint="eastAsia"/>
          <w:highlight w:val="none"/>
          <w:u w:val="none"/>
        </w:rPr>
        <w:t>电话：_______________________传真：____________________</w:t>
      </w:r>
    </w:p>
    <w:p>
      <w:pPr>
        <w:tabs>
          <w:tab w:val="clear" w:pos="426"/>
        </w:tabs>
        <w:rPr>
          <w:highlight w:val="none"/>
          <w:u w:val="none"/>
        </w:rPr>
      </w:pPr>
      <w:r>
        <w:rPr>
          <w:rFonts w:hint="eastAsia"/>
          <w:highlight w:val="none"/>
          <w:u w:val="none"/>
        </w:rPr>
        <w:t>日期：_______________________</w:t>
      </w:r>
    </w:p>
    <w:p>
      <w:pPr>
        <w:tabs>
          <w:tab w:val="clear" w:pos="426"/>
        </w:tabs>
        <w:rPr>
          <w:highlight w:val="none"/>
          <w:u w:val="none"/>
        </w:rPr>
      </w:pPr>
    </w:p>
    <w:p>
      <w:pPr>
        <w:tabs>
          <w:tab w:val="clear" w:pos="426"/>
        </w:tabs>
        <w:rPr>
          <w:highlight w:val="none"/>
        </w:rPr>
      </w:pPr>
      <w:r>
        <w:rPr>
          <w:rFonts w:hint="eastAsia"/>
          <w:highlight w:val="none"/>
        </w:rPr>
        <w:t>说明：《履约担保》为成交后提交履约保函时所用，谈判应答文件中无需提供《履约担保》。</w:t>
      </w:r>
    </w:p>
    <w:p>
      <w:pPr>
        <w:shd w:val="clear" w:color="auto" w:fill="auto"/>
        <w:tabs>
          <w:tab w:val="clear" w:pos="426"/>
        </w:tabs>
        <w:adjustRightInd/>
        <w:snapToGrid/>
        <w:spacing w:line="240" w:lineRule="auto"/>
        <w:jc w:val="left"/>
        <w:rPr>
          <w:highlight w:val="none"/>
        </w:rPr>
      </w:pPr>
      <w:r>
        <w:rPr>
          <w:highlight w:val="none"/>
        </w:rPr>
        <w:br w:type="page"/>
      </w:r>
    </w:p>
    <w:p>
      <w:pPr>
        <w:tabs>
          <w:tab w:val="clear" w:pos="426"/>
        </w:tabs>
        <w:rPr>
          <w:highlight w:val="none"/>
        </w:rPr>
      </w:pPr>
    </w:p>
    <w:p>
      <w:pPr>
        <w:tabs>
          <w:tab w:val="clear" w:pos="426"/>
        </w:tabs>
        <w:jc w:val="center"/>
        <w:rPr>
          <w:b/>
          <w:sz w:val="24"/>
          <w:highlight w:val="none"/>
        </w:rPr>
      </w:pPr>
      <w:r>
        <w:rPr>
          <w:rFonts w:hint="eastAsia"/>
          <w:b/>
          <w:sz w:val="24"/>
          <w:highlight w:val="none"/>
        </w:rPr>
        <w:t>四、政府采购履约情况反馈表</w:t>
      </w:r>
    </w:p>
    <w:p>
      <w:pPr>
        <w:tabs>
          <w:tab w:val="clear" w:pos="426"/>
        </w:tabs>
        <w:jc w:val="center"/>
        <w:rPr>
          <w:b/>
          <w:sz w:val="24"/>
          <w:highlight w:val="none"/>
        </w:rPr>
      </w:pPr>
    </w:p>
    <w:p>
      <w:pPr>
        <w:tabs>
          <w:tab w:val="clear" w:pos="426"/>
        </w:tabs>
        <w:rPr>
          <w:highlight w:val="none"/>
          <w:u w:val="single"/>
        </w:rPr>
      </w:pPr>
      <w:r>
        <w:rPr>
          <w:rFonts w:hint="eastAsia"/>
          <w:highlight w:val="none"/>
        </w:rPr>
        <w:t>采购单位名称：</w:t>
      </w:r>
      <w:r>
        <w:rPr>
          <w:rFonts w:hint="eastAsia"/>
          <w:highlight w:val="none"/>
          <w:u w:val="none"/>
        </w:rPr>
        <w:t>___________________________________联系人及电话：____________________________</w:t>
      </w:r>
    </w:p>
    <w:tbl>
      <w:tblPr>
        <w:tblStyle w:val="44"/>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903"/>
        <w:gridCol w:w="773"/>
        <w:gridCol w:w="773"/>
        <w:gridCol w:w="2704"/>
        <w:gridCol w:w="2125"/>
        <w:gridCol w:w="229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1280" w:type="pct"/>
            <w:gridSpan w:val="3"/>
            <w:vAlign w:val="center"/>
          </w:tcPr>
          <w:p>
            <w:pPr>
              <w:tabs>
                <w:tab w:val="clear" w:pos="426"/>
              </w:tabs>
              <w:spacing w:line="240" w:lineRule="auto"/>
              <w:rPr>
                <w:highlight w:val="none"/>
              </w:rPr>
            </w:pPr>
            <w:r>
              <w:rPr>
                <w:rFonts w:hint="eastAsia"/>
                <w:highlight w:val="none"/>
              </w:rPr>
              <w:t>采购项目名称</w:t>
            </w:r>
          </w:p>
        </w:tc>
        <w:tc>
          <w:tcPr>
            <w:tcW w:w="1413" w:type="pct"/>
            <w:vAlign w:val="center"/>
          </w:tcPr>
          <w:p>
            <w:pPr>
              <w:tabs>
                <w:tab w:val="clear" w:pos="426"/>
              </w:tabs>
              <w:spacing w:line="240" w:lineRule="auto"/>
              <w:rPr>
                <w:highlight w:val="none"/>
              </w:rPr>
            </w:pPr>
          </w:p>
        </w:tc>
        <w:tc>
          <w:tcPr>
            <w:tcW w:w="1110" w:type="pct"/>
            <w:vAlign w:val="center"/>
          </w:tcPr>
          <w:p>
            <w:pPr>
              <w:tabs>
                <w:tab w:val="clear" w:pos="426"/>
              </w:tabs>
              <w:spacing w:line="240" w:lineRule="auto"/>
              <w:rPr>
                <w:highlight w:val="none"/>
              </w:rPr>
            </w:pPr>
            <w:r>
              <w:rPr>
                <w:rFonts w:hint="eastAsia"/>
                <w:highlight w:val="none"/>
              </w:rPr>
              <w:t>采购项目编号</w:t>
            </w:r>
          </w:p>
        </w:tc>
        <w:tc>
          <w:tcPr>
            <w:tcW w:w="1197" w:type="pct"/>
            <w:vAlign w:val="center"/>
          </w:tcPr>
          <w:p>
            <w:pPr>
              <w:keepNext/>
              <w:keepLines/>
              <w:numPr>
                <w:ilvl w:val="4"/>
                <w:numId w:val="0"/>
              </w:numPr>
              <w:tabs>
                <w:tab w:val="clear" w:pos="426"/>
              </w:tabs>
              <w:spacing w:before="280" w:after="290" w:line="240" w:lineRule="auto"/>
              <w:ind w:left="1008" w:hanging="432"/>
              <w:outlineLvl w:val="4"/>
              <w:rPr>
                <w:b/>
                <w:bCs/>
                <w:sz w:val="28"/>
                <w:szCs w:val="28"/>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1280" w:type="pct"/>
            <w:gridSpan w:val="3"/>
            <w:vAlign w:val="center"/>
          </w:tcPr>
          <w:p>
            <w:pPr>
              <w:tabs>
                <w:tab w:val="clear" w:pos="426"/>
              </w:tabs>
              <w:spacing w:line="240" w:lineRule="auto"/>
              <w:rPr>
                <w:highlight w:val="none"/>
              </w:rPr>
            </w:pPr>
            <w:r>
              <w:rPr>
                <w:rFonts w:hint="eastAsia"/>
                <w:highlight w:val="none"/>
              </w:rPr>
              <w:t>成交人名称</w:t>
            </w:r>
          </w:p>
        </w:tc>
        <w:tc>
          <w:tcPr>
            <w:tcW w:w="1413" w:type="pct"/>
            <w:vAlign w:val="center"/>
          </w:tcPr>
          <w:p>
            <w:pPr>
              <w:tabs>
                <w:tab w:val="clear" w:pos="426"/>
              </w:tabs>
              <w:spacing w:line="240" w:lineRule="auto"/>
              <w:rPr>
                <w:highlight w:val="none"/>
              </w:rPr>
            </w:pPr>
          </w:p>
        </w:tc>
        <w:tc>
          <w:tcPr>
            <w:tcW w:w="1110" w:type="pct"/>
            <w:vAlign w:val="center"/>
          </w:tcPr>
          <w:p>
            <w:pPr>
              <w:tabs>
                <w:tab w:val="clear" w:pos="426"/>
              </w:tabs>
              <w:spacing w:line="240" w:lineRule="auto"/>
              <w:rPr>
                <w:highlight w:val="none"/>
              </w:rPr>
            </w:pPr>
            <w:r>
              <w:rPr>
                <w:rFonts w:hint="eastAsia"/>
                <w:highlight w:val="none"/>
              </w:rPr>
              <w:t>供应商</w:t>
            </w:r>
          </w:p>
          <w:p>
            <w:pPr>
              <w:tabs>
                <w:tab w:val="clear" w:pos="426"/>
              </w:tabs>
              <w:spacing w:line="240" w:lineRule="auto"/>
              <w:rPr>
                <w:highlight w:val="none"/>
              </w:rPr>
            </w:pPr>
            <w:r>
              <w:rPr>
                <w:rFonts w:hint="eastAsia"/>
                <w:highlight w:val="none"/>
              </w:rPr>
              <w:t>联系人及电话</w:t>
            </w:r>
          </w:p>
        </w:tc>
        <w:tc>
          <w:tcPr>
            <w:tcW w:w="1197" w:type="pct"/>
            <w:vAlign w:val="center"/>
          </w:tcPr>
          <w:p>
            <w:pPr>
              <w:tabs>
                <w:tab w:val="clear" w:pos="426"/>
              </w:tabs>
              <w:spacing w:line="240" w:lineRule="auto"/>
              <w:rPr>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280" w:type="pct"/>
            <w:gridSpan w:val="3"/>
            <w:vAlign w:val="center"/>
          </w:tcPr>
          <w:p>
            <w:pPr>
              <w:tabs>
                <w:tab w:val="clear" w:pos="426"/>
              </w:tabs>
              <w:spacing w:line="240" w:lineRule="auto"/>
              <w:rPr>
                <w:highlight w:val="none"/>
              </w:rPr>
            </w:pPr>
            <w:r>
              <w:rPr>
                <w:rFonts w:hint="eastAsia"/>
                <w:highlight w:val="none"/>
              </w:rPr>
              <w:t>成交金额</w:t>
            </w:r>
          </w:p>
        </w:tc>
        <w:tc>
          <w:tcPr>
            <w:tcW w:w="1413" w:type="pct"/>
            <w:vAlign w:val="center"/>
          </w:tcPr>
          <w:p>
            <w:pPr>
              <w:tabs>
                <w:tab w:val="clear" w:pos="426"/>
              </w:tabs>
              <w:spacing w:line="240" w:lineRule="auto"/>
              <w:rPr>
                <w:highlight w:val="none"/>
              </w:rPr>
            </w:pPr>
          </w:p>
        </w:tc>
        <w:tc>
          <w:tcPr>
            <w:tcW w:w="1110" w:type="pct"/>
            <w:vAlign w:val="center"/>
          </w:tcPr>
          <w:p>
            <w:pPr>
              <w:tabs>
                <w:tab w:val="clear" w:pos="426"/>
              </w:tabs>
              <w:spacing w:line="240" w:lineRule="auto"/>
              <w:rPr>
                <w:highlight w:val="none"/>
              </w:rPr>
            </w:pPr>
            <w:r>
              <w:rPr>
                <w:rFonts w:hint="eastAsia"/>
                <w:highlight w:val="none"/>
              </w:rPr>
              <w:t>合同履约时间</w:t>
            </w:r>
          </w:p>
        </w:tc>
        <w:tc>
          <w:tcPr>
            <w:tcW w:w="1197" w:type="pct"/>
            <w:vAlign w:val="center"/>
          </w:tcPr>
          <w:p>
            <w:pPr>
              <w:tabs>
                <w:tab w:val="clear" w:pos="426"/>
              </w:tabs>
              <w:spacing w:line="240" w:lineRule="auto"/>
              <w:rPr>
                <w:highlight w:val="none"/>
              </w:rPr>
            </w:pPr>
            <w:r>
              <w:rPr>
                <w:rFonts w:hint="eastAsia"/>
                <w:highlight w:val="none"/>
              </w:rPr>
              <w:t>自       至</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472" w:type="pct"/>
            <w:vMerge w:val="restart"/>
            <w:vAlign w:val="center"/>
          </w:tcPr>
          <w:p>
            <w:pPr>
              <w:tabs>
                <w:tab w:val="clear" w:pos="426"/>
              </w:tabs>
              <w:spacing w:line="240" w:lineRule="auto"/>
              <w:jc w:val="center"/>
              <w:rPr>
                <w:highlight w:val="none"/>
              </w:rPr>
            </w:pPr>
            <w:r>
              <w:rPr>
                <w:rFonts w:hint="eastAsia"/>
                <w:highlight w:val="none"/>
              </w:rPr>
              <w:t>履约情况评价</w:t>
            </w:r>
          </w:p>
        </w:tc>
        <w:tc>
          <w:tcPr>
            <w:tcW w:w="807" w:type="pct"/>
            <w:gridSpan w:val="2"/>
            <w:tcBorders>
              <w:right w:val="single" w:color="auto" w:sz="4" w:space="0"/>
            </w:tcBorders>
            <w:vAlign w:val="center"/>
          </w:tcPr>
          <w:p>
            <w:pPr>
              <w:tabs>
                <w:tab w:val="clear" w:pos="426"/>
              </w:tabs>
              <w:spacing w:line="240" w:lineRule="auto"/>
              <w:jc w:val="center"/>
              <w:rPr>
                <w:highlight w:val="none"/>
              </w:rPr>
            </w:pPr>
            <w:r>
              <w:rPr>
                <w:rFonts w:hint="eastAsia"/>
                <w:highlight w:val="none"/>
              </w:rPr>
              <w:t>总体评价</w:t>
            </w:r>
          </w:p>
        </w:tc>
        <w:tc>
          <w:tcPr>
            <w:tcW w:w="3720" w:type="pct"/>
            <w:gridSpan w:val="3"/>
            <w:tcBorders>
              <w:left w:val="single" w:color="auto" w:sz="4" w:space="0"/>
            </w:tcBorders>
            <w:vAlign w:val="center"/>
          </w:tcPr>
          <w:p>
            <w:pPr>
              <w:tabs>
                <w:tab w:val="clear" w:pos="426"/>
              </w:tabs>
              <w:spacing w:line="240" w:lineRule="auto"/>
              <w:ind w:firstLine="105" w:firstLineChars="50"/>
              <w:rPr>
                <w:highlight w:val="none"/>
              </w:rPr>
            </w:pPr>
            <w:r>
              <w:rPr>
                <w:rFonts w:hint="eastAsia"/>
                <w:highlight w:val="none"/>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472" w:type="pct"/>
            <w:vMerge w:val="continue"/>
            <w:vAlign w:val="center"/>
          </w:tcPr>
          <w:p>
            <w:pPr>
              <w:tabs>
                <w:tab w:val="clear" w:pos="426"/>
              </w:tabs>
              <w:spacing w:line="240" w:lineRule="auto"/>
              <w:jc w:val="center"/>
              <w:rPr>
                <w:highlight w:val="none"/>
              </w:rPr>
            </w:pPr>
          </w:p>
        </w:tc>
        <w:tc>
          <w:tcPr>
            <w:tcW w:w="404" w:type="pct"/>
            <w:vMerge w:val="restart"/>
            <w:tcBorders>
              <w:right w:val="single" w:color="auto" w:sz="4" w:space="0"/>
            </w:tcBorders>
            <w:vAlign w:val="center"/>
          </w:tcPr>
          <w:p>
            <w:pPr>
              <w:tabs>
                <w:tab w:val="clear" w:pos="426"/>
              </w:tabs>
              <w:spacing w:line="240" w:lineRule="auto"/>
              <w:jc w:val="center"/>
              <w:rPr>
                <w:highlight w:val="none"/>
              </w:rPr>
            </w:pPr>
            <w:r>
              <w:rPr>
                <w:rFonts w:hint="eastAsia"/>
                <w:highlight w:val="none"/>
              </w:rPr>
              <w:t>分项评价</w:t>
            </w:r>
          </w:p>
        </w:tc>
        <w:tc>
          <w:tcPr>
            <w:tcW w:w="404" w:type="pct"/>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质量方面</w:t>
            </w:r>
          </w:p>
        </w:tc>
        <w:tc>
          <w:tcPr>
            <w:tcW w:w="3720" w:type="pct"/>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472" w:type="pct"/>
            <w:vMerge w:val="continue"/>
            <w:vAlign w:val="center"/>
          </w:tcPr>
          <w:p>
            <w:pPr>
              <w:tabs>
                <w:tab w:val="clear" w:pos="426"/>
              </w:tabs>
              <w:spacing w:line="240" w:lineRule="auto"/>
              <w:rPr>
                <w:highlight w:val="none"/>
              </w:rPr>
            </w:pPr>
          </w:p>
        </w:tc>
        <w:tc>
          <w:tcPr>
            <w:tcW w:w="404" w:type="pct"/>
            <w:vMerge w:val="continue"/>
            <w:tcBorders>
              <w:right w:val="single" w:color="auto" w:sz="4" w:space="0"/>
            </w:tcBorders>
            <w:vAlign w:val="center"/>
          </w:tcPr>
          <w:p>
            <w:pPr>
              <w:tabs>
                <w:tab w:val="clear" w:pos="426"/>
              </w:tabs>
              <w:spacing w:line="240" w:lineRule="auto"/>
              <w:rPr>
                <w:highlight w:val="none"/>
              </w:rPr>
            </w:pPr>
          </w:p>
        </w:tc>
        <w:tc>
          <w:tcPr>
            <w:tcW w:w="404" w:type="pct"/>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价格方面</w:t>
            </w:r>
          </w:p>
        </w:tc>
        <w:tc>
          <w:tcPr>
            <w:tcW w:w="3720" w:type="pct"/>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472" w:type="pct"/>
            <w:vMerge w:val="continue"/>
            <w:vAlign w:val="center"/>
          </w:tcPr>
          <w:p>
            <w:pPr>
              <w:tabs>
                <w:tab w:val="clear" w:pos="426"/>
              </w:tabs>
              <w:spacing w:line="240" w:lineRule="auto"/>
              <w:rPr>
                <w:highlight w:val="none"/>
              </w:rPr>
            </w:pPr>
          </w:p>
        </w:tc>
        <w:tc>
          <w:tcPr>
            <w:tcW w:w="404" w:type="pct"/>
            <w:vMerge w:val="continue"/>
            <w:tcBorders>
              <w:right w:val="single" w:color="auto" w:sz="4" w:space="0"/>
            </w:tcBorders>
            <w:vAlign w:val="center"/>
          </w:tcPr>
          <w:p>
            <w:pPr>
              <w:tabs>
                <w:tab w:val="clear" w:pos="426"/>
              </w:tabs>
              <w:spacing w:line="240" w:lineRule="auto"/>
              <w:rPr>
                <w:highlight w:val="none"/>
              </w:rPr>
            </w:pPr>
          </w:p>
        </w:tc>
        <w:tc>
          <w:tcPr>
            <w:tcW w:w="404" w:type="pct"/>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服务方面</w:t>
            </w:r>
          </w:p>
        </w:tc>
        <w:tc>
          <w:tcPr>
            <w:tcW w:w="3720" w:type="pct"/>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472" w:type="pct"/>
            <w:vMerge w:val="continue"/>
            <w:vAlign w:val="center"/>
          </w:tcPr>
          <w:p>
            <w:pPr>
              <w:tabs>
                <w:tab w:val="clear" w:pos="426"/>
              </w:tabs>
              <w:spacing w:line="240" w:lineRule="auto"/>
              <w:rPr>
                <w:highlight w:val="none"/>
              </w:rPr>
            </w:pPr>
          </w:p>
        </w:tc>
        <w:tc>
          <w:tcPr>
            <w:tcW w:w="404" w:type="pct"/>
            <w:vMerge w:val="continue"/>
            <w:tcBorders>
              <w:right w:val="single" w:color="auto" w:sz="4" w:space="0"/>
            </w:tcBorders>
            <w:vAlign w:val="center"/>
          </w:tcPr>
          <w:p>
            <w:pPr>
              <w:tabs>
                <w:tab w:val="clear" w:pos="426"/>
              </w:tabs>
              <w:spacing w:line="240" w:lineRule="auto"/>
              <w:rPr>
                <w:highlight w:val="none"/>
              </w:rPr>
            </w:pPr>
          </w:p>
        </w:tc>
        <w:tc>
          <w:tcPr>
            <w:tcW w:w="404" w:type="pct"/>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时间方面</w:t>
            </w:r>
          </w:p>
        </w:tc>
        <w:tc>
          <w:tcPr>
            <w:tcW w:w="3720" w:type="pct"/>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472" w:type="pct"/>
            <w:vMerge w:val="continue"/>
            <w:vAlign w:val="center"/>
          </w:tcPr>
          <w:p>
            <w:pPr>
              <w:tabs>
                <w:tab w:val="clear" w:pos="426"/>
              </w:tabs>
              <w:spacing w:line="240" w:lineRule="auto"/>
              <w:rPr>
                <w:highlight w:val="none"/>
              </w:rPr>
            </w:pPr>
          </w:p>
        </w:tc>
        <w:tc>
          <w:tcPr>
            <w:tcW w:w="404" w:type="pct"/>
            <w:vMerge w:val="continue"/>
            <w:tcBorders>
              <w:right w:val="single" w:color="auto" w:sz="4" w:space="0"/>
            </w:tcBorders>
            <w:vAlign w:val="center"/>
          </w:tcPr>
          <w:p>
            <w:pPr>
              <w:tabs>
                <w:tab w:val="clear" w:pos="426"/>
              </w:tabs>
              <w:spacing w:line="240" w:lineRule="auto"/>
              <w:rPr>
                <w:highlight w:val="none"/>
              </w:rPr>
            </w:pPr>
          </w:p>
        </w:tc>
        <w:tc>
          <w:tcPr>
            <w:tcW w:w="404" w:type="pct"/>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环境保护</w:t>
            </w:r>
          </w:p>
        </w:tc>
        <w:tc>
          <w:tcPr>
            <w:tcW w:w="3720" w:type="pct"/>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472" w:type="pct"/>
            <w:vMerge w:val="continue"/>
            <w:vAlign w:val="center"/>
          </w:tcPr>
          <w:p>
            <w:pPr>
              <w:tabs>
                <w:tab w:val="clear" w:pos="426"/>
              </w:tabs>
              <w:spacing w:line="240" w:lineRule="auto"/>
              <w:rPr>
                <w:highlight w:val="none"/>
              </w:rPr>
            </w:pPr>
          </w:p>
        </w:tc>
        <w:tc>
          <w:tcPr>
            <w:tcW w:w="404" w:type="pct"/>
            <w:vMerge w:val="continue"/>
            <w:tcBorders>
              <w:right w:val="single" w:color="auto" w:sz="4" w:space="0"/>
            </w:tcBorders>
            <w:vAlign w:val="center"/>
          </w:tcPr>
          <w:p>
            <w:pPr>
              <w:tabs>
                <w:tab w:val="clear" w:pos="426"/>
              </w:tabs>
              <w:spacing w:line="240" w:lineRule="auto"/>
              <w:rPr>
                <w:highlight w:val="none"/>
              </w:rPr>
            </w:pPr>
          </w:p>
        </w:tc>
        <w:tc>
          <w:tcPr>
            <w:tcW w:w="404" w:type="pct"/>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其他</w:t>
            </w:r>
          </w:p>
        </w:tc>
        <w:tc>
          <w:tcPr>
            <w:tcW w:w="3720" w:type="pct"/>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评价内容为：                    </w:t>
            </w:r>
          </w:p>
          <w:p>
            <w:pPr>
              <w:tabs>
                <w:tab w:val="clear" w:pos="426"/>
              </w:tabs>
              <w:spacing w:line="240" w:lineRule="auto"/>
              <w:rPr>
                <w:highlight w:val="none"/>
              </w:rPr>
            </w:pPr>
            <w:r>
              <w:rPr>
                <w:rFonts w:hint="eastAsia"/>
                <w:highlight w:val="none"/>
              </w:rPr>
              <w:t>评价等级为：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94" w:hRule="atLeast"/>
          <w:jc w:val="center"/>
        </w:trPr>
        <w:tc>
          <w:tcPr>
            <w:tcW w:w="876" w:type="pct"/>
            <w:gridSpan w:val="2"/>
            <w:vAlign w:val="center"/>
          </w:tcPr>
          <w:p>
            <w:pPr>
              <w:tabs>
                <w:tab w:val="clear" w:pos="426"/>
              </w:tabs>
              <w:spacing w:line="240" w:lineRule="auto"/>
              <w:rPr>
                <w:highlight w:val="none"/>
              </w:rPr>
            </w:pPr>
            <w:r>
              <w:rPr>
                <w:rFonts w:hint="eastAsia"/>
                <w:highlight w:val="none"/>
              </w:rPr>
              <w:t>具体情况说明</w:t>
            </w:r>
          </w:p>
        </w:tc>
        <w:tc>
          <w:tcPr>
            <w:tcW w:w="4124" w:type="pct"/>
            <w:gridSpan w:val="4"/>
          </w:tcPr>
          <w:p>
            <w:pPr>
              <w:tabs>
                <w:tab w:val="clear" w:pos="426"/>
              </w:tabs>
              <w:spacing w:line="240" w:lineRule="auto"/>
              <w:rPr>
                <w:highlight w:val="none"/>
              </w:rPr>
            </w:pPr>
          </w:p>
          <w:p>
            <w:pPr>
              <w:tabs>
                <w:tab w:val="clear" w:pos="426"/>
              </w:tabs>
              <w:spacing w:line="240" w:lineRule="auto"/>
              <w:rPr>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141" w:hRule="atLeast"/>
          <w:jc w:val="center"/>
        </w:trPr>
        <w:tc>
          <w:tcPr>
            <w:tcW w:w="876" w:type="pct"/>
            <w:gridSpan w:val="2"/>
            <w:vAlign w:val="center"/>
          </w:tcPr>
          <w:p>
            <w:pPr>
              <w:tabs>
                <w:tab w:val="clear" w:pos="426"/>
              </w:tabs>
              <w:spacing w:line="240" w:lineRule="auto"/>
              <w:rPr>
                <w:highlight w:val="none"/>
              </w:rPr>
            </w:pPr>
            <w:r>
              <w:rPr>
                <w:rFonts w:hint="eastAsia"/>
                <w:highlight w:val="none"/>
              </w:rPr>
              <w:t>采购单位意见</w:t>
            </w:r>
          </w:p>
          <w:p>
            <w:pPr>
              <w:tabs>
                <w:tab w:val="clear" w:pos="426"/>
              </w:tabs>
              <w:spacing w:line="240" w:lineRule="auto"/>
              <w:rPr>
                <w:highlight w:val="none"/>
              </w:rPr>
            </w:pPr>
            <w:r>
              <w:rPr>
                <w:rFonts w:hint="eastAsia"/>
                <w:highlight w:val="none"/>
              </w:rPr>
              <w:t>（公章）</w:t>
            </w:r>
          </w:p>
        </w:tc>
        <w:tc>
          <w:tcPr>
            <w:tcW w:w="4124" w:type="pct"/>
            <w:gridSpan w:val="4"/>
            <w:vAlign w:val="center"/>
          </w:tcPr>
          <w:p>
            <w:pPr>
              <w:tabs>
                <w:tab w:val="clear" w:pos="426"/>
              </w:tabs>
              <w:spacing w:line="240" w:lineRule="auto"/>
              <w:rPr>
                <w:highlight w:val="none"/>
              </w:rPr>
            </w:pPr>
          </w:p>
          <w:p>
            <w:pPr>
              <w:tabs>
                <w:tab w:val="clear" w:pos="426"/>
              </w:tabs>
              <w:spacing w:line="240" w:lineRule="auto"/>
              <w:rPr>
                <w:highlight w:val="none"/>
              </w:rPr>
            </w:pPr>
          </w:p>
          <w:p>
            <w:pPr>
              <w:tabs>
                <w:tab w:val="clear" w:pos="426"/>
              </w:tabs>
              <w:spacing w:line="240" w:lineRule="auto"/>
              <w:rPr>
                <w:highlight w:val="none"/>
              </w:rPr>
            </w:pPr>
          </w:p>
          <w:p>
            <w:pPr>
              <w:tabs>
                <w:tab w:val="clear" w:pos="426"/>
              </w:tabs>
              <w:spacing w:line="240" w:lineRule="auto"/>
              <w:rPr>
                <w:highlight w:val="none"/>
              </w:rPr>
            </w:pPr>
            <w:r>
              <w:rPr>
                <w:rFonts w:hint="eastAsia"/>
                <w:highlight w:val="none"/>
              </w:rPr>
              <w:t>日期：   年   月   日</w:t>
            </w:r>
          </w:p>
        </w:tc>
      </w:tr>
    </w:tbl>
    <w:p>
      <w:pPr>
        <w:tabs>
          <w:tab w:val="clear" w:pos="426"/>
        </w:tabs>
        <w:rPr>
          <w:highlight w:val="none"/>
        </w:rPr>
      </w:pPr>
      <w:r>
        <w:rPr>
          <w:rFonts w:hint="eastAsia"/>
          <w:highlight w:val="none"/>
        </w:rPr>
        <w:t>说明：</w:t>
      </w:r>
    </w:p>
    <w:p>
      <w:pPr>
        <w:tabs>
          <w:tab w:val="clear" w:pos="426"/>
        </w:tabs>
        <w:ind w:firstLine="424" w:firstLineChars="202"/>
        <w:rPr>
          <w:highlight w:val="none"/>
        </w:rPr>
      </w:pPr>
      <w:r>
        <w:rPr>
          <w:rFonts w:hint="eastAsia"/>
          <w:highlight w:val="none"/>
        </w:rPr>
        <w:t>1、本表为采购单位反映成交供应商项目履约情况时所用；</w:t>
      </w:r>
    </w:p>
    <w:p>
      <w:pPr>
        <w:tabs>
          <w:tab w:val="clear" w:pos="426"/>
        </w:tabs>
        <w:ind w:firstLine="424" w:firstLineChars="202"/>
        <w:rPr>
          <w:highlight w:val="none"/>
        </w:rPr>
      </w:pPr>
      <w:r>
        <w:rPr>
          <w:rFonts w:hint="eastAsia"/>
          <w:highlight w:val="none"/>
        </w:rPr>
        <w:t>2、履约情况评价分为优、良、中、差四个等级，请在对应的框前打“√”，然后在“具体情况说明”一栏详细说明有关情况。</w:t>
      </w:r>
    </w:p>
    <w:p>
      <w:pPr>
        <w:pStyle w:val="33"/>
        <w:tabs>
          <w:tab w:val="clear" w:pos="426"/>
        </w:tabs>
        <w:rPr>
          <w:highlight w:val="none"/>
        </w:rPr>
      </w:pPr>
      <w:r>
        <w:rPr>
          <w:b w:val="0"/>
          <w:bCs w:val="0"/>
          <w:highlight w:val="none"/>
        </w:rPr>
        <w:br w:type="page"/>
      </w:r>
      <w:bookmarkStart w:id="19" w:name="_Toc19633765"/>
      <w:bookmarkStart w:id="20" w:name="_Toc25988"/>
      <w:r>
        <w:rPr>
          <w:rFonts w:hint="eastAsia"/>
          <w:highlight w:val="none"/>
        </w:rPr>
        <w:t>第五章 谈判应答文件格式、附件</w:t>
      </w:r>
      <w:bookmarkEnd w:id="17"/>
      <w:bookmarkEnd w:id="18"/>
      <w:bookmarkEnd w:id="19"/>
      <w:bookmarkEnd w:id="20"/>
    </w:p>
    <w:p>
      <w:pPr>
        <w:tabs>
          <w:tab w:val="clear" w:pos="426"/>
        </w:tabs>
        <w:rPr>
          <w:highlight w:val="none"/>
        </w:rPr>
      </w:pPr>
      <w:r>
        <w:rPr>
          <w:rFonts w:hint="eastAsia" w:ascii="黑体" w:eastAsia="黑体"/>
          <w:bCs/>
          <w:sz w:val="24"/>
          <w:highlight w:val="none"/>
        </w:rPr>
        <w:t>特别提醒：</w:t>
      </w:r>
      <w:r>
        <w:rPr>
          <w:rFonts w:hint="eastAsia"/>
          <w:highlight w:val="none"/>
        </w:rPr>
        <w:t>谈判应答人在编辑谈判应答文件时，应严格按照谈判文件提供的格式进行编写，因未按要求编写导致谈判应答文件不予受理、谈判应答无效或谈判应答无效的，一切后果由供应商自行承担。</w:t>
      </w:r>
    </w:p>
    <w:p>
      <w:pPr>
        <w:tabs>
          <w:tab w:val="clear" w:pos="426"/>
        </w:tabs>
        <w:rPr>
          <w:highlight w:val="none"/>
        </w:rPr>
      </w:pPr>
    </w:p>
    <w:p>
      <w:pPr>
        <w:tabs>
          <w:tab w:val="clear" w:pos="426"/>
        </w:tabs>
        <w:rPr>
          <w:highlight w:val="none"/>
        </w:rPr>
      </w:pPr>
    </w:p>
    <w:p>
      <w:pPr>
        <w:tabs>
          <w:tab w:val="clear" w:pos="426"/>
        </w:tabs>
        <w:rPr>
          <w:highlight w:val="none"/>
        </w:rPr>
      </w:pPr>
      <w:r>
        <w:rPr>
          <w:rFonts w:hint="eastAsia"/>
          <w:highlight w:val="none"/>
        </w:rPr>
        <w:t>谈判应答文件组成：</w:t>
      </w:r>
    </w:p>
    <w:p>
      <w:pPr>
        <w:tabs>
          <w:tab w:val="clear" w:pos="426"/>
        </w:tabs>
        <w:rPr>
          <w:highlight w:val="none"/>
        </w:rPr>
      </w:pPr>
    </w:p>
    <w:p>
      <w:pPr>
        <w:tabs>
          <w:tab w:val="clear" w:pos="426"/>
        </w:tabs>
        <w:spacing w:line="240" w:lineRule="auto"/>
        <w:rPr>
          <w:highlight w:val="none"/>
        </w:rPr>
      </w:pPr>
      <w:r>
        <w:rPr>
          <w:rFonts w:hint="eastAsia"/>
          <w:highlight w:val="none"/>
        </w:rPr>
        <w:t>密封袋封条格式</w:t>
      </w:r>
    </w:p>
    <w:p>
      <w:pPr>
        <w:tabs>
          <w:tab w:val="clear" w:pos="426"/>
        </w:tabs>
        <w:spacing w:line="240" w:lineRule="auto"/>
        <w:rPr>
          <w:highlight w:val="none"/>
        </w:rPr>
      </w:pPr>
      <w:r>
        <w:rPr>
          <w:rFonts w:hint="eastAsia"/>
          <w:highlight w:val="none"/>
        </w:rPr>
        <w:t>谈判应答文件封面格式</w:t>
      </w:r>
    </w:p>
    <w:p>
      <w:pPr>
        <w:tabs>
          <w:tab w:val="clear" w:pos="426"/>
        </w:tabs>
        <w:spacing w:line="240" w:lineRule="auto"/>
        <w:rPr>
          <w:highlight w:val="none"/>
        </w:rPr>
      </w:pPr>
      <w:r>
        <w:rPr>
          <w:rFonts w:hint="eastAsia"/>
          <w:highlight w:val="none"/>
        </w:rPr>
        <w:t>目录（目录格式自定）</w:t>
      </w:r>
    </w:p>
    <w:p>
      <w:pPr>
        <w:tabs>
          <w:tab w:val="clear" w:pos="426"/>
        </w:tabs>
        <w:spacing w:line="240" w:lineRule="auto"/>
        <w:rPr>
          <w:highlight w:val="none"/>
        </w:rPr>
      </w:pPr>
      <w:r>
        <w:rPr>
          <w:rFonts w:hint="eastAsia"/>
          <w:highlight w:val="none"/>
        </w:rPr>
        <w:t>谈判指引表</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kern w:val="2"/>
          <w:sz w:val="24"/>
          <w:highlight w:val="none"/>
        </w:rPr>
      </w:pPr>
      <w:r>
        <w:rPr>
          <w:rFonts w:hint="eastAsia" w:ascii="Times New Roman" w:hAnsi="Times New Roman" w:cs="Times New Roman"/>
          <w:kern w:val="2"/>
          <w:sz w:val="24"/>
          <w:highlight w:val="none"/>
        </w:rPr>
        <w:t>谈判应答函</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kern w:val="2"/>
          <w:sz w:val="24"/>
          <w:highlight w:val="none"/>
        </w:rPr>
      </w:pPr>
      <w:r>
        <w:rPr>
          <w:rFonts w:hint="eastAsia" w:ascii="Times New Roman" w:hAnsi="Times New Roman" w:cs="Times New Roman"/>
          <w:kern w:val="2"/>
          <w:sz w:val="24"/>
          <w:highlight w:val="none"/>
        </w:rPr>
        <w:t>政府采购谈判应答及履约承诺函</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b/>
          <w:bCs/>
          <w:kern w:val="2"/>
          <w:sz w:val="24"/>
          <w:highlight w:val="none"/>
        </w:rPr>
      </w:pPr>
      <w:r>
        <w:rPr>
          <w:rFonts w:hint="eastAsia" w:ascii="Times New Roman" w:hAnsi="Times New Roman" w:cs="Times New Roman"/>
          <w:kern w:val="2"/>
          <w:sz w:val="24"/>
          <w:highlight w:val="none"/>
        </w:rPr>
        <w:t>法定代表人授权委托书、法定代表人证明书</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kern w:val="2"/>
          <w:sz w:val="24"/>
          <w:highlight w:val="none"/>
        </w:rPr>
      </w:pPr>
      <w:r>
        <w:rPr>
          <w:rFonts w:hint="eastAsia" w:ascii="Times New Roman" w:hAnsi="Times New Roman" w:cs="Times New Roman"/>
          <w:kern w:val="2"/>
          <w:sz w:val="24"/>
          <w:highlight w:val="none"/>
        </w:rPr>
        <w:t>谈判应答人基本情况表</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kern w:val="2"/>
          <w:sz w:val="24"/>
          <w:highlight w:val="none"/>
        </w:rPr>
      </w:pPr>
      <w:r>
        <w:rPr>
          <w:rFonts w:hint="eastAsia" w:ascii="Times New Roman" w:hAnsi="Times New Roman" w:cs="Times New Roman"/>
          <w:kern w:val="2"/>
          <w:sz w:val="24"/>
          <w:highlight w:val="none"/>
        </w:rPr>
        <w:t>谈判初始报价一览表（报价表）</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kern w:val="2"/>
          <w:sz w:val="24"/>
          <w:highlight w:val="none"/>
        </w:rPr>
      </w:pPr>
      <w:r>
        <w:rPr>
          <w:rFonts w:hint="eastAsia" w:ascii="Times New Roman" w:hAnsi="Times New Roman" w:cs="Times New Roman"/>
          <w:kern w:val="2"/>
          <w:sz w:val="24"/>
          <w:highlight w:val="none"/>
        </w:rPr>
        <w:t>谈判应答分项报价表</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kern w:val="2"/>
          <w:sz w:val="24"/>
          <w:highlight w:val="none"/>
        </w:rPr>
      </w:pPr>
      <w:r>
        <w:rPr>
          <w:rFonts w:hint="eastAsia" w:ascii="Times New Roman" w:hAnsi="Times New Roman" w:cs="Times New Roman"/>
          <w:kern w:val="2"/>
          <w:sz w:val="24"/>
          <w:highlight w:val="none"/>
        </w:rPr>
        <w:t>实质性响应条款偏离表</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kern w:val="2"/>
          <w:sz w:val="24"/>
          <w:highlight w:val="none"/>
        </w:rPr>
      </w:pPr>
      <w:r>
        <w:rPr>
          <w:rFonts w:hint="eastAsia" w:ascii="Times New Roman" w:hAnsi="Times New Roman" w:cs="Times New Roman"/>
          <w:kern w:val="2"/>
          <w:sz w:val="24"/>
          <w:highlight w:val="none"/>
        </w:rPr>
        <w:t>项目需求响应表（实质性条款除外）</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kern w:val="2"/>
          <w:sz w:val="24"/>
          <w:highlight w:val="none"/>
        </w:rPr>
      </w:pPr>
      <w:r>
        <w:rPr>
          <w:rFonts w:hint="eastAsia" w:ascii="Times New Roman" w:hAnsi="Times New Roman" w:cs="Times New Roman"/>
          <w:kern w:val="2"/>
          <w:sz w:val="24"/>
          <w:highlight w:val="none"/>
        </w:rPr>
        <w:t>技术保障措施</w:t>
      </w:r>
      <w:r>
        <w:rPr>
          <w:rFonts w:hint="eastAsia" w:ascii="Times New Roman" w:hAnsi="Times New Roman" w:cs="Times New Roman"/>
          <w:kern w:val="2"/>
          <w:sz w:val="24"/>
          <w:highlight w:val="none"/>
          <w:lang w:eastAsia="zh-CN"/>
        </w:rPr>
        <w:t>（</w:t>
      </w:r>
      <w:r>
        <w:rPr>
          <w:rFonts w:hint="eastAsia" w:ascii="Times New Roman" w:hAnsi="Times New Roman" w:cs="Times New Roman"/>
          <w:kern w:val="2"/>
          <w:sz w:val="24"/>
          <w:highlight w:val="none"/>
          <w:lang w:val="en-US" w:eastAsia="zh-CN"/>
        </w:rPr>
        <w:t>格式自定</w:t>
      </w:r>
      <w:r>
        <w:rPr>
          <w:rFonts w:hint="eastAsia" w:ascii="Times New Roman" w:hAnsi="Times New Roman" w:cs="Times New Roman"/>
          <w:kern w:val="2"/>
          <w:sz w:val="24"/>
          <w:highlight w:val="none"/>
          <w:lang w:eastAsia="zh-CN"/>
        </w:rPr>
        <w:t>）</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kern w:val="2"/>
          <w:sz w:val="24"/>
          <w:highlight w:val="none"/>
        </w:rPr>
      </w:pPr>
      <w:r>
        <w:rPr>
          <w:rFonts w:hint="eastAsia" w:ascii="Times New Roman" w:hAnsi="Times New Roman" w:cs="Times New Roman"/>
          <w:kern w:val="2"/>
          <w:sz w:val="24"/>
          <w:highlight w:val="none"/>
        </w:rPr>
        <w:t>项目实施方案</w:t>
      </w:r>
      <w:r>
        <w:rPr>
          <w:rFonts w:hint="eastAsia" w:ascii="Times New Roman" w:hAnsi="Times New Roman" w:cs="Times New Roman"/>
          <w:kern w:val="2"/>
          <w:sz w:val="24"/>
          <w:highlight w:val="none"/>
          <w:lang w:eastAsia="zh-CN"/>
        </w:rPr>
        <w:t>（</w:t>
      </w:r>
      <w:r>
        <w:rPr>
          <w:rFonts w:hint="eastAsia" w:ascii="Times New Roman" w:hAnsi="Times New Roman" w:cs="Times New Roman"/>
          <w:kern w:val="2"/>
          <w:sz w:val="24"/>
          <w:highlight w:val="none"/>
          <w:lang w:val="en-US" w:eastAsia="zh-CN"/>
        </w:rPr>
        <w:t>格式自定</w:t>
      </w:r>
      <w:r>
        <w:rPr>
          <w:rFonts w:hint="eastAsia" w:ascii="Times New Roman" w:hAnsi="Times New Roman" w:cs="Times New Roman"/>
          <w:kern w:val="2"/>
          <w:sz w:val="24"/>
          <w:highlight w:val="none"/>
          <w:lang w:eastAsia="zh-CN"/>
        </w:rPr>
        <w:t>）</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kern w:val="2"/>
          <w:sz w:val="24"/>
          <w:highlight w:val="none"/>
        </w:rPr>
      </w:pPr>
      <w:r>
        <w:rPr>
          <w:rFonts w:hint="eastAsia" w:ascii="Times New Roman" w:hAnsi="Times New Roman" w:cs="Times New Roman"/>
          <w:kern w:val="2"/>
          <w:sz w:val="24"/>
          <w:highlight w:val="none"/>
        </w:rPr>
        <w:t>售后服务方案</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kern w:val="2"/>
          <w:sz w:val="24"/>
          <w:highlight w:val="none"/>
        </w:rPr>
      </w:pPr>
      <w:r>
        <w:rPr>
          <w:rFonts w:hint="eastAsia" w:ascii="Times New Roman" w:hAnsi="Times New Roman" w:cs="Times New Roman"/>
          <w:kern w:val="2"/>
          <w:sz w:val="24"/>
          <w:highlight w:val="none"/>
        </w:rPr>
        <w:t>采购代理服务费承诺书</w:t>
      </w:r>
    </w:p>
    <w:p>
      <w:pPr>
        <w:widowControl w:val="0"/>
        <w:numPr>
          <w:ilvl w:val="0"/>
          <w:numId w:val="26"/>
        </w:numPr>
        <w:shd w:val="clear" w:color="auto" w:fill="auto"/>
        <w:tabs>
          <w:tab w:val="clear" w:pos="426"/>
        </w:tabs>
        <w:adjustRightInd/>
        <w:snapToGrid/>
        <w:spacing w:line="240" w:lineRule="auto"/>
        <w:ind w:left="567" w:leftChars="270"/>
        <w:rPr>
          <w:rFonts w:ascii="Times New Roman" w:hAnsi="Times New Roman" w:cs="Times New Roman"/>
          <w:bCs/>
          <w:kern w:val="2"/>
          <w:sz w:val="24"/>
          <w:highlight w:val="none"/>
        </w:rPr>
      </w:pPr>
      <w:r>
        <w:rPr>
          <w:rFonts w:hint="eastAsia" w:ascii="Times New Roman" w:hAnsi="Times New Roman" w:cs="Times New Roman"/>
          <w:bCs/>
          <w:kern w:val="2"/>
          <w:sz w:val="24"/>
          <w:highlight w:val="none"/>
        </w:rPr>
        <w:t>谈判文件要求的其他内容及谈判应答人认为需要加以说明的其他内容</w:t>
      </w:r>
    </w:p>
    <w:p>
      <w:pPr>
        <w:tabs>
          <w:tab w:val="clear" w:pos="426"/>
        </w:tabs>
        <w:adjustRightInd/>
        <w:snapToGrid/>
        <w:spacing w:before="280" w:after="290" w:line="377" w:lineRule="auto"/>
        <w:jc w:val="center"/>
        <w:outlineLvl w:val="2"/>
        <w:rPr>
          <w:b/>
          <w:sz w:val="24"/>
          <w:highlight w:val="none"/>
        </w:rPr>
      </w:pPr>
      <w:r>
        <w:rPr>
          <w:highlight w:val="none"/>
        </w:rPr>
        <w:br w:type="page"/>
      </w:r>
      <w:r>
        <w:rPr>
          <w:rFonts w:hint="eastAsia"/>
          <w:b/>
          <w:sz w:val="24"/>
          <w:highlight w:val="none"/>
        </w:rPr>
        <w:t>密封袋封条格式</w:t>
      </w:r>
    </w:p>
    <w:p>
      <w:pPr>
        <w:tabs>
          <w:tab w:val="clear" w:pos="426"/>
        </w:tabs>
        <w:jc w:val="center"/>
        <w:rPr>
          <w:sz w:val="44"/>
          <w:szCs w:val="44"/>
          <w:highlight w:val="none"/>
          <w:u w:val="single"/>
        </w:rPr>
      </w:pPr>
    </w:p>
    <w:p>
      <w:pPr>
        <w:tabs>
          <w:tab w:val="clear" w:pos="426"/>
        </w:tabs>
        <w:jc w:val="center"/>
        <w:rPr>
          <w:highlight w:val="none"/>
        </w:rPr>
      </w:pPr>
      <w:r>
        <w:rPr>
          <w:rFonts w:hint="eastAsia"/>
          <w:sz w:val="44"/>
          <w:szCs w:val="44"/>
          <w:highlight w:val="none"/>
          <w:u w:val="single"/>
        </w:rPr>
        <w:t>车辆租赁服务项目</w:t>
      </w:r>
    </w:p>
    <w:p>
      <w:pPr>
        <w:tabs>
          <w:tab w:val="clear" w:pos="426"/>
        </w:tabs>
        <w:jc w:val="center"/>
        <w:rPr>
          <w:highlight w:val="none"/>
        </w:rPr>
      </w:pPr>
    </w:p>
    <w:p>
      <w:pPr>
        <w:tabs>
          <w:tab w:val="clear" w:pos="426"/>
        </w:tabs>
        <w:jc w:val="center"/>
        <w:rPr>
          <w:highlight w:val="none"/>
        </w:rPr>
      </w:pPr>
    </w:p>
    <w:p>
      <w:pPr>
        <w:tabs>
          <w:tab w:val="clear" w:pos="426"/>
        </w:tabs>
        <w:jc w:val="center"/>
        <w:rPr>
          <w:sz w:val="52"/>
          <w:szCs w:val="52"/>
          <w:highlight w:val="none"/>
        </w:rPr>
      </w:pPr>
      <w:r>
        <w:rPr>
          <w:rFonts w:hint="eastAsia"/>
          <w:sz w:val="52"/>
          <w:szCs w:val="52"/>
          <w:highlight w:val="none"/>
        </w:rPr>
        <w:t>□谈判应答文件</w:t>
      </w:r>
    </w:p>
    <w:p>
      <w:pPr>
        <w:tabs>
          <w:tab w:val="clear" w:pos="426"/>
        </w:tabs>
        <w:jc w:val="center"/>
        <w:rPr>
          <w:sz w:val="52"/>
          <w:szCs w:val="52"/>
          <w:highlight w:val="none"/>
        </w:rPr>
      </w:pPr>
      <w:r>
        <w:rPr>
          <w:rFonts w:hint="eastAsia"/>
          <w:sz w:val="52"/>
          <w:szCs w:val="52"/>
          <w:highlight w:val="none"/>
        </w:rPr>
        <w:t>□谈判初始报价信封</w:t>
      </w: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ind w:left="708" w:leftChars="337" w:right="706" w:rightChars="336"/>
        <w:rPr>
          <w:sz w:val="28"/>
          <w:szCs w:val="28"/>
          <w:highlight w:val="none"/>
          <w:u w:val="none"/>
        </w:rPr>
      </w:pPr>
      <w:r>
        <w:rPr>
          <w:rFonts w:hint="eastAsia"/>
          <w:sz w:val="28"/>
          <w:szCs w:val="28"/>
          <w:highlight w:val="none"/>
        </w:rPr>
        <w:t>采购项目编号：</w:t>
      </w:r>
      <w:r>
        <w:rPr>
          <w:rFonts w:hint="eastAsia"/>
          <w:sz w:val="28"/>
          <w:szCs w:val="28"/>
          <w:highlight w:val="none"/>
          <w:u w:val="none"/>
        </w:rPr>
        <w:t>__________________________________________</w:t>
      </w:r>
    </w:p>
    <w:p>
      <w:pPr>
        <w:tabs>
          <w:tab w:val="clear" w:pos="426"/>
        </w:tabs>
        <w:ind w:left="708" w:leftChars="337"/>
        <w:rPr>
          <w:sz w:val="28"/>
          <w:szCs w:val="28"/>
          <w:highlight w:val="none"/>
          <w:u w:val="none"/>
        </w:rPr>
      </w:pPr>
      <w:r>
        <w:rPr>
          <w:rFonts w:hint="eastAsia"/>
          <w:sz w:val="28"/>
          <w:szCs w:val="28"/>
          <w:highlight w:val="none"/>
          <w:u w:val="none"/>
        </w:rPr>
        <w:t>谈判应答人名称（公章)：_____________________________________</w:t>
      </w:r>
    </w:p>
    <w:p>
      <w:pPr>
        <w:tabs>
          <w:tab w:val="clear" w:pos="426"/>
        </w:tabs>
        <w:ind w:left="708" w:leftChars="337"/>
        <w:rPr>
          <w:sz w:val="28"/>
          <w:szCs w:val="28"/>
          <w:highlight w:val="none"/>
          <w:u w:val="none"/>
        </w:rPr>
      </w:pPr>
      <w:r>
        <w:rPr>
          <w:rFonts w:hint="eastAsia"/>
          <w:sz w:val="28"/>
          <w:szCs w:val="28"/>
          <w:highlight w:val="none"/>
          <w:u w:val="none"/>
        </w:rPr>
        <w:t>谈判应答人代表（签名）：____________________________________</w:t>
      </w:r>
    </w:p>
    <w:p>
      <w:pPr>
        <w:tabs>
          <w:tab w:val="clear" w:pos="426"/>
        </w:tabs>
        <w:ind w:left="708" w:leftChars="337"/>
        <w:rPr>
          <w:sz w:val="28"/>
          <w:szCs w:val="28"/>
          <w:highlight w:val="none"/>
          <w:u w:val="none"/>
        </w:rPr>
      </w:pPr>
      <w:r>
        <w:rPr>
          <w:rFonts w:hint="eastAsia"/>
          <w:sz w:val="28"/>
          <w:szCs w:val="28"/>
          <w:highlight w:val="none"/>
          <w:u w:val="none"/>
        </w:rPr>
        <w:t>谈判应答截止日期：______年___月___日</w:t>
      </w:r>
      <w:r>
        <w:rPr>
          <w:sz w:val="28"/>
          <w:szCs w:val="28"/>
          <w:highlight w:val="none"/>
          <w:u w:val="none"/>
        </w:rPr>
        <w:t>_</w:t>
      </w:r>
      <w:r>
        <w:rPr>
          <w:rFonts w:hint="eastAsia"/>
          <w:sz w:val="28"/>
          <w:szCs w:val="28"/>
          <w:highlight w:val="none"/>
          <w:u w:val="none"/>
        </w:rPr>
        <w:t>_</w:t>
      </w:r>
      <w:r>
        <w:rPr>
          <w:sz w:val="28"/>
          <w:szCs w:val="28"/>
          <w:highlight w:val="none"/>
          <w:u w:val="none"/>
        </w:rPr>
        <w:t>_时_</w:t>
      </w:r>
      <w:r>
        <w:rPr>
          <w:rFonts w:hint="eastAsia"/>
          <w:sz w:val="28"/>
          <w:szCs w:val="28"/>
          <w:highlight w:val="none"/>
          <w:u w:val="none"/>
        </w:rPr>
        <w:t>_</w:t>
      </w:r>
      <w:r>
        <w:rPr>
          <w:sz w:val="28"/>
          <w:szCs w:val="28"/>
          <w:highlight w:val="none"/>
          <w:u w:val="none"/>
        </w:rPr>
        <w:t>_分</w:t>
      </w:r>
      <w:r>
        <w:rPr>
          <w:rFonts w:hint="eastAsia"/>
          <w:sz w:val="28"/>
          <w:szCs w:val="28"/>
          <w:highlight w:val="none"/>
          <w:u w:val="none"/>
        </w:rPr>
        <w:t>（</w:t>
      </w:r>
      <w:r>
        <w:rPr>
          <w:sz w:val="28"/>
          <w:szCs w:val="28"/>
          <w:highlight w:val="none"/>
          <w:u w:val="none"/>
        </w:rPr>
        <w:t>前不得开封</w:t>
      </w:r>
      <w:r>
        <w:rPr>
          <w:rFonts w:hint="eastAsia"/>
          <w:sz w:val="28"/>
          <w:szCs w:val="28"/>
          <w:highlight w:val="none"/>
          <w:u w:val="none"/>
        </w:rPr>
        <w:t>）</w:t>
      </w:r>
    </w:p>
    <w:p>
      <w:pPr>
        <w:tabs>
          <w:tab w:val="clear" w:pos="426"/>
        </w:tabs>
        <w:adjustRightInd/>
        <w:snapToGrid/>
        <w:spacing w:before="280" w:after="290" w:line="377" w:lineRule="auto"/>
        <w:jc w:val="center"/>
        <w:outlineLvl w:val="2"/>
        <w:rPr>
          <w:b/>
          <w:sz w:val="24"/>
          <w:highlight w:val="none"/>
        </w:rPr>
      </w:pPr>
      <w:r>
        <w:rPr>
          <w:highlight w:val="none"/>
        </w:rPr>
        <w:br w:type="page"/>
      </w:r>
      <w:r>
        <w:rPr>
          <w:rFonts w:hint="eastAsia"/>
          <w:b/>
          <w:sz w:val="24"/>
          <w:highlight w:val="none"/>
        </w:rPr>
        <w:t>谈判应答文件封面格式</w:t>
      </w:r>
    </w:p>
    <w:p>
      <w:pPr>
        <w:tabs>
          <w:tab w:val="clear" w:pos="426"/>
        </w:tabs>
        <w:jc w:val="right"/>
        <w:rPr>
          <w:sz w:val="44"/>
          <w:szCs w:val="44"/>
          <w:highlight w:val="none"/>
          <w:u w:val="single"/>
        </w:rPr>
      </w:pPr>
      <w:r>
        <w:rPr>
          <w:rFonts w:hint="eastAsia"/>
          <w:sz w:val="44"/>
          <w:szCs w:val="44"/>
          <w:highlight w:val="none"/>
          <w:u w:val="single"/>
        </w:rPr>
        <w:t>正/副本</w:t>
      </w:r>
    </w:p>
    <w:p>
      <w:pPr>
        <w:tabs>
          <w:tab w:val="clear" w:pos="426"/>
        </w:tabs>
        <w:jc w:val="center"/>
        <w:rPr>
          <w:sz w:val="44"/>
          <w:szCs w:val="44"/>
          <w:highlight w:val="none"/>
          <w:u w:val="single"/>
        </w:rPr>
      </w:pPr>
    </w:p>
    <w:p>
      <w:pPr>
        <w:tabs>
          <w:tab w:val="clear" w:pos="426"/>
        </w:tabs>
        <w:jc w:val="center"/>
        <w:rPr>
          <w:sz w:val="44"/>
          <w:szCs w:val="44"/>
          <w:highlight w:val="none"/>
        </w:rPr>
      </w:pPr>
      <w:r>
        <w:rPr>
          <w:rFonts w:hint="eastAsia"/>
          <w:sz w:val="44"/>
          <w:szCs w:val="44"/>
          <w:highlight w:val="none"/>
          <w:u w:val="single"/>
        </w:rPr>
        <w:t>车辆租赁服务项目</w:t>
      </w:r>
    </w:p>
    <w:p>
      <w:pPr>
        <w:tabs>
          <w:tab w:val="clear" w:pos="426"/>
        </w:tabs>
        <w:jc w:val="center"/>
        <w:rPr>
          <w:highlight w:val="none"/>
        </w:rPr>
      </w:pPr>
    </w:p>
    <w:p>
      <w:pPr>
        <w:tabs>
          <w:tab w:val="clear" w:pos="426"/>
        </w:tabs>
        <w:jc w:val="center"/>
        <w:rPr>
          <w:highlight w:val="none"/>
        </w:rPr>
      </w:pPr>
    </w:p>
    <w:p>
      <w:pPr>
        <w:tabs>
          <w:tab w:val="clear" w:pos="426"/>
        </w:tabs>
        <w:jc w:val="center"/>
        <w:rPr>
          <w:sz w:val="52"/>
          <w:szCs w:val="52"/>
          <w:highlight w:val="none"/>
        </w:rPr>
      </w:pPr>
      <w:r>
        <w:rPr>
          <w:rFonts w:hint="eastAsia"/>
          <w:sz w:val="52"/>
          <w:szCs w:val="52"/>
          <w:highlight w:val="none"/>
        </w:rPr>
        <w:t>谈判应答文件</w:t>
      </w:r>
    </w:p>
    <w:p>
      <w:pPr>
        <w:tabs>
          <w:tab w:val="clear" w:pos="426"/>
        </w:tabs>
        <w:rPr>
          <w:sz w:val="52"/>
          <w:szCs w:val="52"/>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ind w:left="1275" w:leftChars="607"/>
        <w:rPr>
          <w:sz w:val="28"/>
          <w:szCs w:val="28"/>
          <w:highlight w:val="none"/>
          <w:u w:val="none"/>
        </w:rPr>
      </w:pPr>
      <w:r>
        <w:rPr>
          <w:rFonts w:hint="eastAsia"/>
          <w:sz w:val="28"/>
          <w:szCs w:val="28"/>
          <w:highlight w:val="none"/>
        </w:rPr>
        <w:t>采购项目编号：</w:t>
      </w:r>
      <w:r>
        <w:rPr>
          <w:rFonts w:hint="eastAsia"/>
          <w:sz w:val="28"/>
          <w:szCs w:val="28"/>
          <w:highlight w:val="none"/>
          <w:u w:val="none"/>
        </w:rPr>
        <w:t>___________________________</w:t>
      </w:r>
      <w:r>
        <w:rPr>
          <w:sz w:val="28"/>
          <w:szCs w:val="28"/>
          <w:highlight w:val="none"/>
          <w:u w:val="none"/>
        </w:rPr>
        <w:t>____</w:t>
      </w:r>
      <w:r>
        <w:rPr>
          <w:rFonts w:hint="eastAsia"/>
          <w:sz w:val="28"/>
          <w:szCs w:val="28"/>
          <w:highlight w:val="none"/>
          <w:u w:val="none"/>
        </w:rPr>
        <w:t>____</w:t>
      </w:r>
    </w:p>
    <w:p>
      <w:pPr>
        <w:tabs>
          <w:tab w:val="clear" w:pos="426"/>
        </w:tabs>
        <w:ind w:left="1275" w:leftChars="607"/>
        <w:rPr>
          <w:sz w:val="28"/>
          <w:szCs w:val="28"/>
          <w:highlight w:val="none"/>
          <w:u w:val="none"/>
        </w:rPr>
      </w:pPr>
      <w:r>
        <w:rPr>
          <w:rFonts w:hint="eastAsia"/>
          <w:sz w:val="28"/>
          <w:szCs w:val="28"/>
          <w:highlight w:val="none"/>
          <w:u w:val="none"/>
        </w:rPr>
        <w:t>谈判应答人名称（公章)：__________________________</w:t>
      </w:r>
    </w:p>
    <w:p>
      <w:pPr>
        <w:tabs>
          <w:tab w:val="clear" w:pos="426"/>
        </w:tabs>
        <w:ind w:left="1275" w:leftChars="607"/>
        <w:rPr>
          <w:sz w:val="28"/>
          <w:szCs w:val="28"/>
          <w:highlight w:val="none"/>
          <w:u w:val="none"/>
        </w:rPr>
      </w:pPr>
      <w:r>
        <w:rPr>
          <w:rFonts w:hint="eastAsia"/>
          <w:sz w:val="28"/>
          <w:szCs w:val="28"/>
          <w:highlight w:val="none"/>
          <w:u w:val="none"/>
        </w:rPr>
        <w:t>谈判应答人代表（签名）：_________________________</w:t>
      </w:r>
    </w:p>
    <w:p>
      <w:pPr>
        <w:tabs>
          <w:tab w:val="clear" w:pos="426"/>
        </w:tabs>
        <w:ind w:left="1275" w:leftChars="607"/>
        <w:rPr>
          <w:sz w:val="28"/>
          <w:szCs w:val="28"/>
          <w:highlight w:val="none"/>
          <w:u w:val="none"/>
        </w:rPr>
      </w:pPr>
      <w:r>
        <w:rPr>
          <w:rFonts w:hint="eastAsia"/>
          <w:sz w:val="28"/>
          <w:szCs w:val="28"/>
          <w:highlight w:val="none"/>
          <w:u w:val="none"/>
        </w:rPr>
        <w:t>谈判应答日期：__________________年_____月______日</w:t>
      </w:r>
    </w:p>
    <w:p>
      <w:pPr>
        <w:tabs>
          <w:tab w:val="clear" w:pos="426"/>
        </w:tabs>
        <w:rPr>
          <w:highlight w:val="none"/>
        </w:rPr>
      </w:pPr>
    </w:p>
    <w:p>
      <w:pPr>
        <w:tabs>
          <w:tab w:val="clear" w:pos="426"/>
        </w:tabs>
        <w:adjustRightInd/>
        <w:snapToGrid/>
        <w:spacing w:before="280" w:after="290" w:line="377" w:lineRule="auto"/>
        <w:jc w:val="center"/>
        <w:outlineLvl w:val="2"/>
        <w:rPr>
          <w:b/>
          <w:sz w:val="24"/>
          <w:highlight w:val="none"/>
        </w:rPr>
      </w:pPr>
      <w:r>
        <w:rPr>
          <w:highlight w:val="none"/>
        </w:rPr>
        <w:br w:type="page"/>
      </w:r>
      <w:r>
        <w:rPr>
          <w:rFonts w:hint="eastAsia"/>
          <w:b/>
          <w:sz w:val="24"/>
          <w:highlight w:val="none"/>
        </w:rPr>
        <w:t>谈判应答文件目录（目录格式自定）</w:t>
      </w:r>
    </w:p>
    <w:p>
      <w:pPr>
        <w:tabs>
          <w:tab w:val="clear" w:pos="426"/>
        </w:tabs>
        <w:rPr>
          <w:highlight w:val="none"/>
        </w:rPr>
      </w:pPr>
      <w:r>
        <w:rPr>
          <w:rFonts w:hint="eastAsia"/>
          <w:highlight w:val="none"/>
        </w:rPr>
        <w:t>按照谈判文件的要求编制谈判应答文件相应内容，请标明各部分内容的页码。</w:t>
      </w:r>
    </w:p>
    <w:p>
      <w:pPr>
        <w:tabs>
          <w:tab w:val="clear" w:pos="426"/>
        </w:tabs>
        <w:rPr>
          <w:highlight w:val="none"/>
        </w:rPr>
      </w:pPr>
    </w:p>
    <w:p>
      <w:pPr>
        <w:tabs>
          <w:tab w:val="clear" w:pos="426"/>
        </w:tabs>
        <w:rPr>
          <w:highlight w:val="none"/>
        </w:rPr>
      </w:pPr>
    </w:p>
    <w:p>
      <w:pPr>
        <w:tabs>
          <w:tab w:val="clear" w:pos="426"/>
        </w:tabs>
        <w:adjustRightInd/>
        <w:snapToGrid/>
        <w:spacing w:before="280" w:after="290" w:line="377" w:lineRule="auto"/>
        <w:jc w:val="center"/>
        <w:outlineLvl w:val="2"/>
        <w:rPr>
          <w:b/>
          <w:sz w:val="24"/>
          <w:highlight w:val="none"/>
        </w:rPr>
      </w:pPr>
      <w:r>
        <w:rPr>
          <w:highlight w:val="none"/>
        </w:rPr>
        <w:br w:type="page"/>
      </w:r>
      <w:r>
        <w:rPr>
          <w:rFonts w:hint="eastAsia"/>
          <w:b/>
          <w:sz w:val="24"/>
          <w:highlight w:val="none"/>
        </w:rPr>
        <w:t>谈判指引表</w:t>
      </w:r>
    </w:p>
    <w:p>
      <w:pPr>
        <w:tabs>
          <w:tab w:val="clear" w:pos="426"/>
        </w:tabs>
        <w:jc w:val="center"/>
        <w:rPr>
          <w:b/>
          <w:highlight w:val="none"/>
        </w:rPr>
      </w:pPr>
      <w:r>
        <w:rPr>
          <w:rFonts w:hint="eastAsia"/>
          <w:b/>
          <w:highlight w:val="none"/>
        </w:rPr>
        <w:t>（置于谈判应答文件的首页）</w:t>
      </w:r>
    </w:p>
    <w:p>
      <w:pPr>
        <w:tabs>
          <w:tab w:val="clear" w:pos="426"/>
        </w:tabs>
        <w:ind w:firstLine="420" w:firstLineChars="200"/>
        <w:rPr>
          <w:highlight w:val="none"/>
        </w:rPr>
      </w:pPr>
      <w:r>
        <w:rPr>
          <w:rFonts w:hint="eastAsia"/>
          <w:szCs w:val="21"/>
          <w:highlight w:val="none"/>
        </w:rPr>
        <w:t>为方便参与该项目的评委专家的谈判，快速找到谈判事项与该项目谈判应答文件所对应的位置，请谈判应答人参照下表格式，编制本项目谈判指引表。</w:t>
      </w:r>
    </w:p>
    <w:p>
      <w:pPr>
        <w:tabs>
          <w:tab w:val="clear" w:pos="426"/>
        </w:tabs>
        <w:rPr>
          <w:rFonts w:ascii="Times New Roman" w:hAnsi="Times New Roman" w:cs="Times New Roman"/>
          <w:kern w:val="2"/>
          <w:szCs w:val="20"/>
          <w:highlight w:val="none"/>
        </w:rPr>
      </w:pPr>
      <w:r>
        <w:rPr>
          <w:rFonts w:hint="eastAsia" w:ascii="Times New Roman" w:hAnsi="Times New Roman" w:cs="Times New Roman"/>
          <w:kern w:val="2"/>
          <w:szCs w:val="20"/>
          <w:highlight w:val="none"/>
        </w:rPr>
        <w:t>项目名称：车辆租赁服务项目</w:t>
      </w:r>
    </w:p>
    <w:p>
      <w:pPr>
        <w:tabs>
          <w:tab w:val="clear" w:pos="426"/>
        </w:tabs>
        <w:rPr>
          <w:rFonts w:ascii="Times New Roman" w:hAnsi="Times New Roman" w:cs="Times New Roman"/>
          <w:kern w:val="2"/>
          <w:szCs w:val="20"/>
          <w:highlight w:val="none"/>
        </w:rPr>
      </w:pPr>
      <w:r>
        <w:rPr>
          <w:rFonts w:hint="eastAsia" w:ascii="Times New Roman" w:hAnsi="Times New Roman" w:cs="Times New Roman"/>
          <w:kern w:val="2"/>
          <w:szCs w:val="20"/>
          <w:highlight w:val="none"/>
        </w:rPr>
        <w:t>采购项目编号：</w:t>
      </w:r>
      <w:r>
        <w:rPr>
          <w:rFonts w:ascii="Times New Roman" w:hAnsi="Times New Roman" w:cs="Times New Roman"/>
          <w:kern w:val="2"/>
          <w:szCs w:val="20"/>
          <w:highlight w:val="none"/>
        </w:rPr>
        <w:t xml:space="preserve"> </w:t>
      </w:r>
    </w:p>
    <w:p>
      <w:pPr>
        <w:tabs>
          <w:tab w:val="clear" w:pos="426"/>
        </w:tabs>
        <w:jc w:val="center"/>
        <w:rPr>
          <w:b/>
          <w:highlight w:val="none"/>
        </w:rPr>
      </w:pPr>
      <w:r>
        <w:rPr>
          <w:rFonts w:hint="eastAsia"/>
          <w:b/>
          <w:highlight w:val="none"/>
        </w:rPr>
        <w:t>项目谈判指引表</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4203"/>
        <w:gridCol w:w="1740"/>
        <w:gridCol w:w="1365"/>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gridSpan w:val="5"/>
            <w:vAlign w:val="center"/>
          </w:tcPr>
          <w:p>
            <w:pPr>
              <w:tabs>
                <w:tab w:val="clear" w:pos="426"/>
              </w:tabs>
              <w:adjustRightInd/>
              <w:snapToGrid/>
              <w:spacing w:line="240" w:lineRule="auto"/>
              <w:jc w:val="center"/>
              <w:rPr>
                <w:b/>
                <w:highlight w:val="none"/>
              </w:rPr>
            </w:pPr>
            <w:r>
              <w:rPr>
                <w:rFonts w:hint="eastAsia"/>
                <w:b/>
                <w:highlight w:val="none"/>
              </w:rPr>
              <w:t>一、资格性审查指引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tabs>
                <w:tab w:val="clear" w:pos="426"/>
              </w:tabs>
              <w:adjustRightInd/>
              <w:snapToGrid/>
              <w:spacing w:line="240" w:lineRule="auto"/>
              <w:jc w:val="center"/>
              <w:rPr>
                <w:b/>
                <w:highlight w:val="none"/>
              </w:rPr>
            </w:pPr>
            <w:r>
              <w:rPr>
                <w:rFonts w:hint="eastAsia"/>
                <w:b/>
                <w:highlight w:val="none"/>
              </w:rPr>
              <w:t>序号</w:t>
            </w:r>
          </w:p>
        </w:tc>
        <w:tc>
          <w:tcPr>
            <w:tcW w:w="2196" w:type="pct"/>
            <w:vAlign w:val="center"/>
          </w:tcPr>
          <w:p>
            <w:pPr>
              <w:tabs>
                <w:tab w:val="clear" w:pos="426"/>
              </w:tabs>
              <w:adjustRightInd/>
              <w:snapToGrid/>
              <w:spacing w:line="240" w:lineRule="auto"/>
              <w:jc w:val="center"/>
              <w:rPr>
                <w:b/>
                <w:highlight w:val="none"/>
              </w:rPr>
            </w:pPr>
            <w:r>
              <w:rPr>
                <w:rFonts w:hint="eastAsia"/>
                <w:b/>
                <w:highlight w:val="none"/>
              </w:rPr>
              <w:t>资格性审查项目</w:t>
            </w:r>
          </w:p>
        </w:tc>
        <w:tc>
          <w:tcPr>
            <w:tcW w:w="1622" w:type="pct"/>
            <w:gridSpan w:val="2"/>
            <w:vAlign w:val="center"/>
          </w:tcPr>
          <w:p>
            <w:pPr>
              <w:tabs>
                <w:tab w:val="clear" w:pos="426"/>
              </w:tabs>
              <w:adjustRightInd/>
              <w:snapToGrid/>
              <w:spacing w:line="240" w:lineRule="auto"/>
              <w:jc w:val="center"/>
              <w:rPr>
                <w:b/>
                <w:highlight w:val="none"/>
              </w:rPr>
            </w:pPr>
            <w:r>
              <w:rPr>
                <w:rFonts w:hint="eastAsia"/>
                <w:b/>
                <w:highlight w:val="none"/>
              </w:rPr>
              <w:t>证明文件</w:t>
            </w:r>
          </w:p>
        </w:tc>
        <w:tc>
          <w:tcPr>
            <w:tcW w:w="730" w:type="pct"/>
            <w:vAlign w:val="center"/>
          </w:tcPr>
          <w:p>
            <w:pPr>
              <w:tabs>
                <w:tab w:val="clear" w:pos="426"/>
              </w:tabs>
              <w:adjustRightInd/>
              <w:snapToGrid/>
              <w:spacing w:line="240" w:lineRule="auto"/>
              <w:jc w:val="center"/>
              <w:rPr>
                <w:b/>
                <w:highlight w:val="none"/>
              </w:rPr>
            </w:pPr>
            <w:r>
              <w:rPr>
                <w:rFonts w:hint="eastAsia"/>
                <w:b/>
                <w:highlight w:val="none"/>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Merge w:val="restart"/>
            <w:vAlign w:val="center"/>
          </w:tcPr>
          <w:p>
            <w:pPr>
              <w:tabs>
                <w:tab w:val="clear" w:pos="426"/>
              </w:tabs>
              <w:adjustRightInd/>
              <w:snapToGrid/>
              <w:spacing w:line="240" w:lineRule="auto"/>
              <w:jc w:val="center"/>
              <w:rPr>
                <w:bCs/>
                <w:highlight w:val="none"/>
              </w:rPr>
            </w:pPr>
            <w:r>
              <w:rPr>
                <w:bCs/>
                <w:highlight w:val="none"/>
              </w:rPr>
              <w:t>1</w:t>
            </w:r>
          </w:p>
        </w:tc>
        <w:tc>
          <w:tcPr>
            <w:tcW w:w="2196" w:type="pct"/>
            <w:vMerge w:val="restart"/>
            <w:vAlign w:val="center"/>
          </w:tcPr>
          <w:p>
            <w:pPr>
              <w:tabs>
                <w:tab w:val="clear" w:pos="426"/>
              </w:tabs>
              <w:adjustRightInd/>
              <w:snapToGrid/>
              <w:spacing w:line="240" w:lineRule="auto"/>
              <w:jc w:val="center"/>
              <w:rPr>
                <w:b/>
                <w:highlight w:val="none"/>
              </w:rPr>
            </w:pPr>
            <w:r>
              <w:rPr>
                <w:rFonts w:hint="eastAsia"/>
                <w:color w:val="000000"/>
                <w:highlight w:val="none"/>
              </w:rPr>
              <w:t>谈判应答人资质要求</w:t>
            </w:r>
          </w:p>
        </w:tc>
        <w:tc>
          <w:tcPr>
            <w:tcW w:w="1622" w:type="pct"/>
            <w:gridSpan w:val="2"/>
            <w:vAlign w:val="center"/>
          </w:tcPr>
          <w:p>
            <w:pPr>
              <w:tabs>
                <w:tab w:val="clear" w:pos="426"/>
              </w:tabs>
              <w:adjustRightInd/>
              <w:snapToGrid/>
              <w:spacing w:line="240" w:lineRule="auto"/>
              <w:jc w:val="center"/>
              <w:rPr>
                <w:highlight w:val="none"/>
              </w:rPr>
            </w:pPr>
            <w:r>
              <w:rPr>
                <w:rFonts w:hint="eastAsia"/>
                <w:highlight w:val="none"/>
              </w:rPr>
              <w:t>营业执照</w:t>
            </w:r>
          </w:p>
        </w:tc>
        <w:tc>
          <w:tcPr>
            <w:tcW w:w="730" w:type="pct"/>
            <w:shd w:val="clear" w:color="auto" w:fill="auto"/>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Merge w:val="continue"/>
            <w:vAlign w:val="center"/>
          </w:tcPr>
          <w:p>
            <w:pPr>
              <w:tabs>
                <w:tab w:val="clear" w:pos="426"/>
              </w:tabs>
              <w:adjustRightInd/>
              <w:snapToGrid/>
              <w:spacing w:line="240" w:lineRule="auto"/>
              <w:jc w:val="center"/>
              <w:rPr>
                <w:bCs/>
                <w:highlight w:val="none"/>
              </w:rPr>
            </w:pPr>
          </w:p>
        </w:tc>
        <w:tc>
          <w:tcPr>
            <w:tcW w:w="2196" w:type="pct"/>
            <w:vMerge w:val="continue"/>
            <w:vAlign w:val="center"/>
          </w:tcPr>
          <w:p>
            <w:pPr>
              <w:tabs>
                <w:tab w:val="clear" w:pos="426"/>
              </w:tabs>
              <w:adjustRightInd/>
              <w:snapToGrid/>
              <w:spacing w:line="240" w:lineRule="auto"/>
              <w:jc w:val="center"/>
              <w:rPr>
                <w:color w:val="000000"/>
                <w:highlight w:val="none"/>
              </w:rPr>
            </w:pPr>
          </w:p>
        </w:tc>
        <w:tc>
          <w:tcPr>
            <w:tcW w:w="1622" w:type="pct"/>
            <w:gridSpan w:val="2"/>
            <w:vAlign w:val="center"/>
          </w:tcPr>
          <w:p>
            <w:pPr>
              <w:tabs>
                <w:tab w:val="clear" w:pos="426"/>
              </w:tabs>
              <w:adjustRightInd/>
              <w:snapToGrid/>
              <w:spacing w:line="240" w:lineRule="auto"/>
              <w:jc w:val="center"/>
              <w:rPr>
                <w:highlight w:val="none"/>
              </w:rPr>
            </w:pPr>
            <w:r>
              <w:rPr>
                <w:rFonts w:hint="eastAsia"/>
                <w:highlight w:val="none"/>
              </w:rPr>
              <w:t>……</w:t>
            </w:r>
          </w:p>
        </w:tc>
        <w:tc>
          <w:tcPr>
            <w:tcW w:w="730" w:type="pct"/>
            <w:shd w:val="clear" w:color="auto" w:fill="auto"/>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Merge w:val="continue"/>
            <w:vAlign w:val="center"/>
          </w:tcPr>
          <w:p>
            <w:pPr>
              <w:tabs>
                <w:tab w:val="clear" w:pos="426"/>
              </w:tabs>
              <w:adjustRightInd/>
              <w:snapToGrid/>
              <w:spacing w:line="240" w:lineRule="auto"/>
              <w:jc w:val="center"/>
              <w:rPr>
                <w:bCs/>
                <w:highlight w:val="none"/>
              </w:rPr>
            </w:pPr>
          </w:p>
        </w:tc>
        <w:tc>
          <w:tcPr>
            <w:tcW w:w="2196" w:type="pct"/>
            <w:vMerge w:val="continue"/>
            <w:vAlign w:val="center"/>
          </w:tcPr>
          <w:p>
            <w:pPr>
              <w:tabs>
                <w:tab w:val="clear" w:pos="426"/>
              </w:tabs>
              <w:adjustRightInd/>
              <w:snapToGrid/>
              <w:spacing w:line="240" w:lineRule="auto"/>
              <w:jc w:val="center"/>
              <w:rPr>
                <w:color w:val="000000"/>
                <w:highlight w:val="none"/>
              </w:rPr>
            </w:pPr>
          </w:p>
        </w:tc>
        <w:tc>
          <w:tcPr>
            <w:tcW w:w="1622" w:type="pct"/>
            <w:gridSpan w:val="2"/>
            <w:vAlign w:val="center"/>
          </w:tcPr>
          <w:p>
            <w:pPr>
              <w:tabs>
                <w:tab w:val="clear" w:pos="426"/>
              </w:tabs>
              <w:adjustRightInd/>
              <w:snapToGrid/>
              <w:spacing w:line="240" w:lineRule="auto"/>
              <w:jc w:val="center"/>
              <w:rPr>
                <w:highlight w:val="none"/>
              </w:rPr>
            </w:pPr>
          </w:p>
        </w:tc>
        <w:tc>
          <w:tcPr>
            <w:tcW w:w="730" w:type="pct"/>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Merge w:val="continue"/>
            <w:vAlign w:val="center"/>
          </w:tcPr>
          <w:p>
            <w:pPr>
              <w:tabs>
                <w:tab w:val="clear" w:pos="426"/>
              </w:tabs>
              <w:adjustRightInd/>
              <w:snapToGrid/>
              <w:spacing w:line="240" w:lineRule="auto"/>
              <w:jc w:val="center"/>
              <w:rPr>
                <w:bCs/>
                <w:highlight w:val="none"/>
              </w:rPr>
            </w:pPr>
          </w:p>
        </w:tc>
        <w:tc>
          <w:tcPr>
            <w:tcW w:w="2196" w:type="pct"/>
            <w:vMerge w:val="continue"/>
            <w:vAlign w:val="center"/>
          </w:tcPr>
          <w:p>
            <w:pPr>
              <w:tabs>
                <w:tab w:val="clear" w:pos="426"/>
              </w:tabs>
              <w:adjustRightInd/>
              <w:snapToGrid/>
              <w:spacing w:line="240" w:lineRule="auto"/>
              <w:jc w:val="center"/>
              <w:rPr>
                <w:color w:val="000000"/>
                <w:highlight w:val="none"/>
              </w:rPr>
            </w:pPr>
          </w:p>
        </w:tc>
        <w:tc>
          <w:tcPr>
            <w:tcW w:w="1622" w:type="pct"/>
            <w:gridSpan w:val="2"/>
            <w:vAlign w:val="center"/>
          </w:tcPr>
          <w:p>
            <w:pPr>
              <w:tabs>
                <w:tab w:val="clear" w:pos="426"/>
              </w:tabs>
              <w:adjustRightInd/>
              <w:snapToGrid/>
              <w:spacing w:line="240" w:lineRule="auto"/>
              <w:jc w:val="center"/>
              <w:rPr>
                <w:b/>
                <w:highlight w:val="none"/>
              </w:rPr>
            </w:pPr>
          </w:p>
        </w:tc>
        <w:tc>
          <w:tcPr>
            <w:tcW w:w="730" w:type="pct"/>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Merge w:val="continue"/>
            <w:vAlign w:val="center"/>
          </w:tcPr>
          <w:p>
            <w:pPr>
              <w:tabs>
                <w:tab w:val="clear" w:pos="426"/>
              </w:tabs>
              <w:adjustRightInd/>
              <w:snapToGrid/>
              <w:spacing w:line="240" w:lineRule="auto"/>
              <w:jc w:val="center"/>
              <w:rPr>
                <w:bCs/>
                <w:highlight w:val="none"/>
              </w:rPr>
            </w:pPr>
          </w:p>
        </w:tc>
        <w:tc>
          <w:tcPr>
            <w:tcW w:w="2196" w:type="pct"/>
            <w:vMerge w:val="continue"/>
            <w:vAlign w:val="center"/>
          </w:tcPr>
          <w:p>
            <w:pPr>
              <w:tabs>
                <w:tab w:val="clear" w:pos="426"/>
              </w:tabs>
              <w:adjustRightInd/>
              <w:snapToGrid/>
              <w:spacing w:line="240" w:lineRule="auto"/>
              <w:jc w:val="center"/>
              <w:rPr>
                <w:color w:val="000000"/>
                <w:highlight w:val="none"/>
              </w:rPr>
            </w:pPr>
          </w:p>
        </w:tc>
        <w:tc>
          <w:tcPr>
            <w:tcW w:w="1622" w:type="pct"/>
            <w:gridSpan w:val="2"/>
            <w:vAlign w:val="center"/>
          </w:tcPr>
          <w:p>
            <w:pPr>
              <w:tabs>
                <w:tab w:val="clear" w:pos="426"/>
              </w:tabs>
              <w:adjustRightInd/>
              <w:snapToGrid/>
              <w:spacing w:line="240" w:lineRule="auto"/>
              <w:jc w:val="center"/>
              <w:rPr>
                <w:b/>
                <w:highlight w:val="none"/>
              </w:rPr>
            </w:pPr>
          </w:p>
        </w:tc>
        <w:tc>
          <w:tcPr>
            <w:tcW w:w="730" w:type="pct"/>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Merge w:val="continue"/>
            <w:vAlign w:val="center"/>
          </w:tcPr>
          <w:p>
            <w:pPr>
              <w:tabs>
                <w:tab w:val="clear" w:pos="426"/>
              </w:tabs>
              <w:adjustRightInd/>
              <w:snapToGrid/>
              <w:spacing w:line="240" w:lineRule="auto"/>
              <w:jc w:val="center"/>
              <w:rPr>
                <w:bCs/>
                <w:highlight w:val="none"/>
              </w:rPr>
            </w:pPr>
          </w:p>
        </w:tc>
        <w:tc>
          <w:tcPr>
            <w:tcW w:w="2196" w:type="pct"/>
            <w:vMerge w:val="continue"/>
            <w:vAlign w:val="center"/>
          </w:tcPr>
          <w:p>
            <w:pPr>
              <w:tabs>
                <w:tab w:val="clear" w:pos="426"/>
              </w:tabs>
              <w:adjustRightInd/>
              <w:snapToGrid/>
              <w:spacing w:line="240" w:lineRule="auto"/>
              <w:jc w:val="center"/>
              <w:rPr>
                <w:color w:val="000000"/>
                <w:highlight w:val="none"/>
              </w:rPr>
            </w:pPr>
          </w:p>
        </w:tc>
        <w:tc>
          <w:tcPr>
            <w:tcW w:w="1622" w:type="pct"/>
            <w:gridSpan w:val="2"/>
            <w:vAlign w:val="center"/>
          </w:tcPr>
          <w:p>
            <w:pPr>
              <w:tabs>
                <w:tab w:val="clear" w:pos="426"/>
              </w:tabs>
              <w:adjustRightInd/>
              <w:snapToGrid/>
              <w:spacing w:line="240" w:lineRule="auto"/>
              <w:jc w:val="center"/>
              <w:rPr>
                <w:b/>
                <w:highlight w:val="none"/>
              </w:rPr>
            </w:pPr>
          </w:p>
        </w:tc>
        <w:tc>
          <w:tcPr>
            <w:tcW w:w="730" w:type="pct"/>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gridSpan w:val="5"/>
            <w:vAlign w:val="center"/>
          </w:tcPr>
          <w:p>
            <w:pPr>
              <w:tabs>
                <w:tab w:val="clear" w:pos="426"/>
              </w:tabs>
              <w:adjustRightInd/>
              <w:snapToGrid/>
              <w:spacing w:line="240" w:lineRule="auto"/>
              <w:jc w:val="center"/>
              <w:rPr>
                <w:b/>
                <w:highlight w:val="none"/>
              </w:rPr>
            </w:pPr>
            <w:r>
              <w:rPr>
                <w:rFonts w:hint="eastAsia"/>
                <w:b/>
                <w:highlight w:val="none"/>
              </w:rPr>
              <w:t>二、符合性审查指引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tabs>
                <w:tab w:val="clear" w:pos="426"/>
              </w:tabs>
              <w:adjustRightInd/>
              <w:snapToGrid/>
              <w:spacing w:line="240" w:lineRule="auto"/>
              <w:jc w:val="center"/>
              <w:rPr>
                <w:b/>
                <w:highlight w:val="none"/>
              </w:rPr>
            </w:pPr>
            <w:r>
              <w:rPr>
                <w:rFonts w:hint="eastAsia"/>
                <w:b/>
                <w:highlight w:val="none"/>
              </w:rPr>
              <w:t>序号</w:t>
            </w:r>
          </w:p>
        </w:tc>
        <w:tc>
          <w:tcPr>
            <w:tcW w:w="3105" w:type="pct"/>
            <w:gridSpan w:val="2"/>
            <w:vAlign w:val="center"/>
          </w:tcPr>
          <w:p>
            <w:pPr>
              <w:tabs>
                <w:tab w:val="clear" w:pos="426"/>
              </w:tabs>
              <w:adjustRightInd/>
              <w:snapToGrid/>
              <w:spacing w:line="240" w:lineRule="auto"/>
              <w:jc w:val="center"/>
              <w:rPr>
                <w:b/>
                <w:highlight w:val="none"/>
              </w:rPr>
            </w:pPr>
            <w:r>
              <w:rPr>
                <w:rFonts w:hint="eastAsia"/>
                <w:b/>
                <w:highlight w:val="none"/>
              </w:rPr>
              <w:t>符合性审查项目</w:t>
            </w:r>
          </w:p>
        </w:tc>
        <w:tc>
          <w:tcPr>
            <w:tcW w:w="1443" w:type="pct"/>
            <w:gridSpan w:val="2"/>
            <w:vAlign w:val="center"/>
          </w:tcPr>
          <w:p>
            <w:pPr>
              <w:tabs>
                <w:tab w:val="clear" w:pos="426"/>
              </w:tabs>
              <w:adjustRightInd/>
              <w:snapToGrid/>
              <w:spacing w:line="240" w:lineRule="auto"/>
              <w:jc w:val="center"/>
              <w:rPr>
                <w:b/>
                <w:highlight w:val="none"/>
              </w:rPr>
            </w:pPr>
            <w:r>
              <w:rPr>
                <w:rFonts w:hint="eastAsia"/>
                <w:b/>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w:t>
            </w:r>
          </w:p>
        </w:tc>
        <w:tc>
          <w:tcPr>
            <w:tcW w:w="3105" w:type="pct"/>
            <w:gridSpan w:val="2"/>
            <w:vAlign w:val="center"/>
          </w:tcPr>
          <w:p>
            <w:pPr>
              <w:tabs>
                <w:tab w:val="clear" w:pos="426"/>
              </w:tabs>
              <w:adjustRightInd/>
              <w:snapToGrid/>
              <w:spacing w:line="240" w:lineRule="auto"/>
              <w:rPr>
                <w:highlight w:val="none"/>
              </w:rPr>
            </w:pPr>
            <w:r>
              <w:rPr>
                <w:rFonts w:hint="eastAsia"/>
                <w:highlight w:val="none"/>
              </w:rPr>
              <w:t>未出现将一个包中的内容拆开谈判应答；</w:t>
            </w:r>
          </w:p>
        </w:tc>
        <w:tc>
          <w:tcPr>
            <w:tcW w:w="1443" w:type="pct"/>
            <w:gridSpan w:val="2"/>
            <w:vAlign w:val="center"/>
          </w:tcPr>
          <w:p>
            <w:pPr>
              <w:tabs>
                <w:tab w:val="clear" w:pos="426"/>
              </w:tabs>
              <w:adjustRightInd/>
              <w:snapToGrid/>
              <w:spacing w:line="240" w:lineRule="auto"/>
              <w:jc w:val="center"/>
              <w:rPr>
                <w:highlight w:val="none"/>
              </w:rPr>
            </w:pPr>
            <w:r>
              <w:rPr>
                <w:rFonts w:hint="eastAsia"/>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2</w:t>
            </w:r>
          </w:p>
        </w:tc>
        <w:tc>
          <w:tcPr>
            <w:tcW w:w="3105" w:type="pct"/>
            <w:gridSpan w:val="2"/>
            <w:vAlign w:val="center"/>
          </w:tcPr>
          <w:p>
            <w:pPr>
              <w:tabs>
                <w:tab w:val="clear" w:pos="426"/>
              </w:tabs>
              <w:adjustRightInd/>
              <w:snapToGrid/>
              <w:spacing w:line="240" w:lineRule="auto"/>
              <w:rPr>
                <w:highlight w:val="none"/>
              </w:rPr>
            </w:pPr>
            <w:r>
              <w:rPr>
                <w:rFonts w:hint="eastAsia"/>
                <w:highlight w:val="none"/>
              </w:rPr>
              <w:t>谈判应答文件及谈判初始报价一览表按规定密封、签字、盖章</w:t>
            </w:r>
          </w:p>
        </w:tc>
        <w:tc>
          <w:tcPr>
            <w:tcW w:w="1443" w:type="pct"/>
            <w:gridSpan w:val="2"/>
            <w:vAlign w:val="center"/>
          </w:tcPr>
          <w:p>
            <w:pPr>
              <w:tabs>
                <w:tab w:val="clear" w:pos="426"/>
              </w:tabs>
              <w:adjustRightInd/>
              <w:snapToGrid/>
              <w:spacing w:line="240" w:lineRule="auto"/>
              <w:jc w:val="center"/>
              <w:rPr>
                <w:highlight w:val="none"/>
              </w:rPr>
            </w:pPr>
            <w:r>
              <w:rPr>
                <w:rFonts w:hint="eastAsia"/>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3</w:t>
            </w:r>
          </w:p>
        </w:tc>
        <w:tc>
          <w:tcPr>
            <w:tcW w:w="3105" w:type="pct"/>
            <w:gridSpan w:val="2"/>
            <w:vAlign w:val="center"/>
          </w:tcPr>
          <w:p>
            <w:pPr>
              <w:tabs>
                <w:tab w:val="clear" w:pos="426"/>
              </w:tabs>
              <w:adjustRightInd/>
              <w:snapToGrid/>
              <w:spacing w:line="240" w:lineRule="auto"/>
              <w:rPr>
                <w:highlight w:val="none"/>
              </w:rPr>
            </w:pPr>
            <w:r>
              <w:rPr>
                <w:rFonts w:hint="eastAsia"/>
                <w:highlight w:val="none"/>
              </w:rPr>
              <w:t>除谈判文件规定允许有替代方案外，对同一项目谈判应答时，未提供两套或两套以上的谈判应答方案；</w:t>
            </w:r>
          </w:p>
        </w:tc>
        <w:tc>
          <w:tcPr>
            <w:tcW w:w="1443" w:type="pct"/>
            <w:gridSpan w:val="2"/>
            <w:vAlign w:val="center"/>
          </w:tcPr>
          <w:p>
            <w:pPr>
              <w:tabs>
                <w:tab w:val="clear" w:pos="426"/>
              </w:tabs>
              <w:adjustRightInd/>
              <w:snapToGrid/>
              <w:spacing w:line="240" w:lineRule="auto"/>
              <w:jc w:val="center"/>
              <w:rPr>
                <w:highlight w:val="none"/>
              </w:rPr>
            </w:pPr>
            <w:r>
              <w:rPr>
                <w:rFonts w:hint="eastAsia"/>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4</w:t>
            </w:r>
          </w:p>
        </w:tc>
        <w:tc>
          <w:tcPr>
            <w:tcW w:w="3105" w:type="pct"/>
            <w:gridSpan w:val="2"/>
            <w:vAlign w:val="center"/>
          </w:tcPr>
          <w:p>
            <w:pPr>
              <w:tabs>
                <w:tab w:val="clear" w:pos="426"/>
              </w:tabs>
              <w:adjustRightInd/>
              <w:snapToGrid/>
              <w:spacing w:line="240" w:lineRule="auto"/>
              <w:rPr>
                <w:highlight w:val="none"/>
              </w:rPr>
            </w:pPr>
            <w:r>
              <w:rPr>
                <w:rFonts w:hint="eastAsia"/>
                <w:highlight w:val="none"/>
              </w:rPr>
              <w:t>按谈判文件所提供的样式填写</w:t>
            </w:r>
            <w:r>
              <w:rPr>
                <w:highlight w:val="none"/>
              </w:rPr>
              <w:t>《</w:t>
            </w:r>
            <w:r>
              <w:rPr>
                <w:rFonts w:hint="eastAsia"/>
                <w:highlight w:val="none"/>
              </w:rPr>
              <w:t>谈判应答函》；按谈判文件所提供的《政府采购谈判应答及履约承诺函》进行承诺；</w:t>
            </w:r>
          </w:p>
        </w:tc>
        <w:tc>
          <w:tcPr>
            <w:tcW w:w="1443" w:type="pct"/>
            <w:gridSpan w:val="2"/>
            <w:vAlign w:val="center"/>
          </w:tcPr>
          <w:p>
            <w:pPr>
              <w:tabs>
                <w:tab w:val="clear" w:pos="426"/>
              </w:tabs>
              <w:adjustRightInd/>
              <w:snapToGrid/>
              <w:spacing w:line="240" w:lineRule="auto"/>
              <w:jc w:val="center"/>
              <w:rPr>
                <w:highlight w:val="none"/>
              </w:rPr>
            </w:pPr>
            <w:r>
              <w:rPr>
                <w:rFonts w:hint="eastAsia"/>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452" w:type="pct"/>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5</w:t>
            </w:r>
          </w:p>
        </w:tc>
        <w:tc>
          <w:tcPr>
            <w:tcW w:w="3105" w:type="pct"/>
            <w:gridSpan w:val="2"/>
            <w:vAlign w:val="center"/>
          </w:tcPr>
          <w:p>
            <w:pPr>
              <w:tabs>
                <w:tab w:val="clear" w:pos="426"/>
              </w:tabs>
              <w:adjustRightInd/>
              <w:snapToGrid/>
              <w:spacing w:line="240" w:lineRule="auto"/>
              <w:rPr>
                <w:highlight w:val="none"/>
              </w:rPr>
            </w:pPr>
            <w:r>
              <w:rPr>
                <w:rFonts w:hint="eastAsia"/>
                <w:highlight w:val="none"/>
              </w:rPr>
              <w:t>按照谈判文件规定要求签署、盖章；谈判应答文件有法定代表人签字，签字人有法定代表人有效授权书；</w:t>
            </w:r>
          </w:p>
        </w:tc>
        <w:tc>
          <w:tcPr>
            <w:tcW w:w="1443" w:type="pct"/>
            <w:gridSpan w:val="2"/>
            <w:vAlign w:val="center"/>
          </w:tcPr>
          <w:p>
            <w:pPr>
              <w:tabs>
                <w:tab w:val="clear" w:pos="426"/>
              </w:tabs>
              <w:adjustRightInd/>
              <w:snapToGrid/>
              <w:spacing w:line="240" w:lineRule="auto"/>
              <w:jc w:val="center"/>
              <w:rPr>
                <w:b/>
                <w:highlight w:val="none"/>
              </w:rPr>
            </w:pPr>
            <w:r>
              <w:rPr>
                <w:rFonts w:hint="eastAsia"/>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6</w:t>
            </w:r>
          </w:p>
        </w:tc>
        <w:tc>
          <w:tcPr>
            <w:tcW w:w="3105" w:type="pct"/>
            <w:gridSpan w:val="2"/>
            <w:vAlign w:val="center"/>
          </w:tcPr>
          <w:p>
            <w:pPr>
              <w:tabs>
                <w:tab w:val="clear" w:pos="426"/>
              </w:tabs>
              <w:adjustRightInd/>
              <w:snapToGrid/>
              <w:spacing w:line="240" w:lineRule="auto"/>
              <w:rPr>
                <w:highlight w:val="none"/>
              </w:rPr>
            </w:pPr>
            <w:r>
              <w:rPr>
                <w:rFonts w:hint="eastAsia"/>
                <w:highlight w:val="none"/>
              </w:rPr>
              <w:t>谈判应答总价或分项报价不高于财政预算限额（最高谈判应答限价）；</w:t>
            </w:r>
          </w:p>
        </w:tc>
        <w:tc>
          <w:tcPr>
            <w:tcW w:w="1443" w:type="pct"/>
            <w:gridSpan w:val="2"/>
            <w:vAlign w:val="center"/>
          </w:tcPr>
          <w:p>
            <w:pPr>
              <w:tabs>
                <w:tab w:val="clear" w:pos="426"/>
              </w:tabs>
              <w:adjustRightInd/>
              <w:snapToGrid/>
              <w:spacing w:line="240" w:lineRule="auto"/>
              <w:jc w:val="center"/>
              <w:rPr>
                <w:highlight w:val="none"/>
              </w:rPr>
            </w:pPr>
            <w:r>
              <w:rPr>
                <w:rFonts w:hint="eastAsia"/>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7</w:t>
            </w:r>
          </w:p>
        </w:tc>
        <w:tc>
          <w:tcPr>
            <w:tcW w:w="3105" w:type="pct"/>
            <w:gridSpan w:val="2"/>
            <w:vAlign w:val="center"/>
          </w:tcPr>
          <w:p>
            <w:pPr>
              <w:tabs>
                <w:tab w:val="clear" w:pos="426"/>
              </w:tabs>
              <w:adjustRightInd/>
              <w:snapToGrid/>
              <w:spacing w:line="240" w:lineRule="auto"/>
              <w:rPr>
                <w:highlight w:val="none"/>
              </w:rPr>
            </w:pPr>
            <w:r>
              <w:rPr>
                <w:rFonts w:hint="eastAsia"/>
                <w:highlight w:val="none"/>
              </w:rPr>
              <w:t>不存在以下情形：</w:t>
            </w:r>
            <w:r>
              <w:rPr>
                <w:szCs w:val="21"/>
                <w:highlight w:val="none"/>
              </w:rPr>
              <w:t>同一项目出现两个及以上报价，且按规定无法确定哪个是有效报价；</w:t>
            </w:r>
          </w:p>
        </w:tc>
        <w:tc>
          <w:tcPr>
            <w:tcW w:w="1443" w:type="pct"/>
            <w:gridSpan w:val="2"/>
            <w:vAlign w:val="center"/>
          </w:tcPr>
          <w:p>
            <w:pPr>
              <w:tabs>
                <w:tab w:val="clear" w:pos="426"/>
              </w:tabs>
              <w:adjustRightInd/>
              <w:snapToGrid/>
              <w:spacing w:line="240" w:lineRule="auto"/>
              <w:jc w:val="center"/>
              <w:rPr>
                <w:b/>
                <w:highlight w:val="none"/>
              </w:rPr>
            </w:pPr>
            <w:r>
              <w:rPr>
                <w:rFonts w:hint="eastAsia"/>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8</w:t>
            </w:r>
          </w:p>
        </w:tc>
        <w:tc>
          <w:tcPr>
            <w:tcW w:w="3105" w:type="pct"/>
            <w:gridSpan w:val="2"/>
            <w:vAlign w:val="center"/>
          </w:tcPr>
          <w:p>
            <w:pPr>
              <w:tabs>
                <w:tab w:val="clear" w:pos="426"/>
              </w:tabs>
              <w:adjustRightInd/>
              <w:snapToGrid/>
              <w:spacing w:line="240" w:lineRule="auto"/>
              <w:rPr>
                <w:highlight w:val="none"/>
              </w:rPr>
            </w:pPr>
            <w:r>
              <w:rPr>
                <w:rFonts w:hint="eastAsia"/>
                <w:highlight w:val="none"/>
              </w:rPr>
              <w:t>不存在以下情形：谈判小组认为谈判应答人的报价明显低于其他通过符合性审查谈判应答人的报价，有可能影响产品质量或者不能诚信履约的，且不能在合理的时间内提供书面说明，或无法提交相关证明材料，谈判应答人不能证明其报价合理性的；</w:t>
            </w:r>
          </w:p>
        </w:tc>
        <w:tc>
          <w:tcPr>
            <w:tcW w:w="1443" w:type="pct"/>
            <w:gridSpan w:val="2"/>
            <w:vAlign w:val="center"/>
          </w:tcPr>
          <w:p>
            <w:pPr>
              <w:tabs>
                <w:tab w:val="clear" w:pos="426"/>
              </w:tabs>
              <w:adjustRightInd/>
              <w:snapToGrid/>
              <w:spacing w:line="240" w:lineRule="auto"/>
              <w:jc w:val="center"/>
              <w:rPr>
                <w:b/>
                <w:highlight w:val="none"/>
              </w:rPr>
            </w:pPr>
            <w:r>
              <w:rPr>
                <w:rFonts w:hint="eastAsia"/>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9</w:t>
            </w:r>
          </w:p>
        </w:tc>
        <w:tc>
          <w:tcPr>
            <w:tcW w:w="3105" w:type="pct"/>
            <w:gridSpan w:val="2"/>
            <w:vAlign w:val="center"/>
          </w:tcPr>
          <w:p>
            <w:pPr>
              <w:tabs>
                <w:tab w:val="clear" w:pos="426"/>
              </w:tabs>
              <w:adjustRightInd/>
              <w:snapToGrid/>
              <w:spacing w:line="240" w:lineRule="auto"/>
              <w:rPr>
                <w:highlight w:val="none"/>
              </w:rPr>
            </w:pPr>
            <w:r>
              <w:rPr>
                <w:rFonts w:hint="eastAsia"/>
                <w:highlight w:val="none"/>
              </w:rPr>
              <w:t>所投产品、工程、服务在质量、技术、方案等方面实质性满足谈判文件要求；</w:t>
            </w:r>
          </w:p>
        </w:tc>
        <w:tc>
          <w:tcPr>
            <w:tcW w:w="1443" w:type="pct"/>
            <w:gridSpan w:val="2"/>
            <w:vAlign w:val="center"/>
          </w:tcPr>
          <w:p>
            <w:pPr>
              <w:tabs>
                <w:tab w:val="clear" w:pos="426"/>
              </w:tabs>
              <w:adjustRightInd/>
              <w:snapToGrid/>
              <w:spacing w:line="240" w:lineRule="auto"/>
              <w:jc w:val="center"/>
              <w:rPr>
                <w:b/>
                <w:highlight w:val="none"/>
              </w:rPr>
            </w:pPr>
            <w:r>
              <w:rPr>
                <w:rFonts w:hint="eastAsia"/>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10</w:t>
            </w:r>
          </w:p>
        </w:tc>
        <w:tc>
          <w:tcPr>
            <w:tcW w:w="3105" w:type="pct"/>
            <w:gridSpan w:val="2"/>
            <w:vAlign w:val="center"/>
          </w:tcPr>
          <w:p>
            <w:pPr>
              <w:tabs>
                <w:tab w:val="clear" w:pos="426"/>
              </w:tabs>
              <w:adjustRightInd/>
              <w:snapToGrid/>
              <w:spacing w:line="240" w:lineRule="auto"/>
              <w:rPr>
                <w:highlight w:val="none"/>
              </w:rPr>
            </w:pPr>
            <w:r>
              <w:rPr>
                <w:rFonts w:hint="eastAsia"/>
                <w:highlight w:val="none"/>
              </w:rPr>
              <w:t>谈判应答报价无严重缺漏项目或对谈判文件规定的服务清单项目及数量进行修改</w:t>
            </w:r>
          </w:p>
        </w:tc>
        <w:tc>
          <w:tcPr>
            <w:tcW w:w="1443" w:type="pct"/>
            <w:gridSpan w:val="2"/>
            <w:vAlign w:val="center"/>
          </w:tcPr>
          <w:p>
            <w:pPr>
              <w:tabs>
                <w:tab w:val="clear" w:pos="426"/>
              </w:tabs>
              <w:adjustRightInd/>
              <w:snapToGrid/>
              <w:spacing w:line="240" w:lineRule="auto"/>
              <w:jc w:val="center"/>
              <w:rPr>
                <w:b/>
                <w:highlight w:val="none"/>
              </w:rPr>
            </w:pPr>
            <w:r>
              <w:rPr>
                <w:rFonts w:hint="eastAsia"/>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11</w:t>
            </w:r>
          </w:p>
        </w:tc>
        <w:tc>
          <w:tcPr>
            <w:tcW w:w="3105" w:type="pct"/>
            <w:gridSpan w:val="2"/>
            <w:vAlign w:val="center"/>
          </w:tcPr>
          <w:p>
            <w:pPr>
              <w:tabs>
                <w:tab w:val="clear" w:pos="426"/>
              </w:tabs>
              <w:adjustRightInd/>
              <w:snapToGrid/>
              <w:spacing w:line="240" w:lineRule="auto"/>
              <w:rPr>
                <w:highlight w:val="none"/>
              </w:rPr>
            </w:pPr>
            <w:r>
              <w:rPr>
                <w:rFonts w:hint="eastAsia"/>
                <w:highlight w:val="none"/>
              </w:rPr>
              <w:t>谈判应答文件不存在谈判文件中规定的其它无效谈判应答条款的；</w:t>
            </w:r>
          </w:p>
        </w:tc>
        <w:tc>
          <w:tcPr>
            <w:tcW w:w="1443" w:type="pct"/>
            <w:gridSpan w:val="2"/>
            <w:vAlign w:val="center"/>
          </w:tcPr>
          <w:p>
            <w:pPr>
              <w:tabs>
                <w:tab w:val="clear" w:pos="426"/>
              </w:tabs>
              <w:adjustRightInd/>
              <w:snapToGrid/>
              <w:spacing w:line="240" w:lineRule="auto"/>
              <w:jc w:val="center"/>
              <w:rPr>
                <w:highlight w:val="none"/>
              </w:rPr>
            </w:pPr>
            <w:r>
              <w:rPr>
                <w:rFonts w:hint="eastAsia"/>
                <w:highlight w:val="none"/>
              </w:rPr>
              <w:t>符合/不符合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2" w:type="pct"/>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12</w:t>
            </w:r>
          </w:p>
        </w:tc>
        <w:tc>
          <w:tcPr>
            <w:tcW w:w="3105" w:type="pct"/>
            <w:gridSpan w:val="2"/>
            <w:vAlign w:val="center"/>
          </w:tcPr>
          <w:p>
            <w:pPr>
              <w:tabs>
                <w:tab w:val="clear" w:pos="426"/>
              </w:tabs>
              <w:adjustRightInd/>
              <w:snapToGrid/>
              <w:spacing w:line="240" w:lineRule="auto"/>
              <w:rPr>
                <w:highlight w:val="none"/>
              </w:rPr>
            </w:pPr>
            <w:r>
              <w:rPr>
                <w:rFonts w:hint="eastAsia"/>
                <w:highlight w:val="none"/>
              </w:rPr>
              <w:t>不属于法律、法规规定的谈判应答无效的其他情形。</w:t>
            </w:r>
          </w:p>
        </w:tc>
        <w:tc>
          <w:tcPr>
            <w:tcW w:w="1443" w:type="pct"/>
            <w:gridSpan w:val="2"/>
            <w:vAlign w:val="center"/>
          </w:tcPr>
          <w:p>
            <w:pPr>
              <w:tabs>
                <w:tab w:val="clear" w:pos="426"/>
              </w:tabs>
              <w:adjustRightInd/>
              <w:snapToGrid/>
              <w:spacing w:line="240" w:lineRule="auto"/>
              <w:jc w:val="center"/>
              <w:rPr>
                <w:highlight w:val="none"/>
              </w:rPr>
            </w:pPr>
            <w:r>
              <w:rPr>
                <w:rFonts w:hint="eastAsia"/>
                <w:highlight w:val="none"/>
              </w:rPr>
              <w:t>符合/不符合</w:t>
            </w:r>
          </w:p>
        </w:tc>
      </w:tr>
    </w:tbl>
    <w:p>
      <w:pPr>
        <w:tabs>
          <w:tab w:val="clear" w:pos="426"/>
        </w:tabs>
        <w:rPr>
          <w:highlight w:val="none"/>
        </w:rPr>
      </w:pPr>
      <w:r>
        <w:rPr>
          <w:rFonts w:hint="eastAsia"/>
          <w:szCs w:val="21"/>
          <w:highlight w:val="none"/>
        </w:rPr>
        <w:t>备注：</w:t>
      </w:r>
      <w:r>
        <w:rPr>
          <w:rFonts w:hint="eastAsia"/>
          <w:highlight w:val="none"/>
        </w:rPr>
        <w:t>因项目次序混乱而影响谈判效率及谈判结果者，谈判应答人自负其责。</w:t>
      </w:r>
    </w:p>
    <w:p>
      <w:pPr>
        <w:tabs>
          <w:tab w:val="clear" w:pos="426"/>
        </w:tabs>
        <w:rPr>
          <w:highlight w:val="none"/>
        </w:rPr>
      </w:pPr>
    </w:p>
    <w:p>
      <w:pPr>
        <w:tabs>
          <w:tab w:val="clear" w:pos="426"/>
        </w:tabs>
        <w:spacing w:line="240" w:lineRule="exact"/>
        <w:rPr>
          <w:highlight w:val="none"/>
        </w:rPr>
      </w:pPr>
    </w:p>
    <w:p>
      <w:pPr>
        <w:tabs>
          <w:tab w:val="clear" w:pos="426"/>
        </w:tabs>
        <w:adjustRightInd/>
        <w:snapToGrid/>
        <w:spacing w:before="280" w:after="290" w:line="377" w:lineRule="auto"/>
        <w:outlineLvl w:val="2"/>
        <w:rPr>
          <w:b/>
          <w:sz w:val="24"/>
          <w:highlight w:val="none"/>
        </w:rPr>
      </w:pPr>
      <w:r>
        <w:rPr>
          <w:rFonts w:ascii="黑体" w:eastAsia="黑体"/>
          <w:bCs/>
          <w:sz w:val="28"/>
          <w:highlight w:val="none"/>
        </w:rPr>
        <w:br w:type="page"/>
      </w:r>
      <w:r>
        <w:rPr>
          <w:rFonts w:hint="eastAsia" w:ascii="黑体" w:eastAsia="黑体"/>
          <w:bCs/>
          <w:sz w:val="28"/>
          <w:highlight w:val="none"/>
        </w:rPr>
        <w:t>一、</w:t>
      </w:r>
      <w:r>
        <w:rPr>
          <w:rFonts w:hint="eastAsia"/>
          <w:b/>
          <w:sz w:val="24"/>
          <w:highlight w:val="none"/>
        </w:rPr>
        <w:t>谈判应答函</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21" w:name="_Toc201719122"/>
      <w:bookmarkStart w:id="22" w:name="_Toc201997950"/>
      <w:bookmarkStart w:id="23" w:name="_Toc201742865"/>
      <w:bookmarkStart w:id="24" w:name="_Toc201743120"/>
      <w:r>
        <w:rPr>
          <w:rFonts w:hint="eastAsia" w:cs="Times New Roman"/>
          <w:bCs/>
          <w:kern w:val="2"/>
          <w:sz w:val="32"/>
          <w:szCs w:val="32"/>
          <w:highlight w:val="none"/>
        </w:rPr>
        <w:t>谈判应答函</w:t>
      </w:r>
      <w:bookmarkEnd w:id="21"/>
      <w:bookmarkEnd w:id="22"/>
      <w:bookmarkEnd w:id="23"/>
      <w:bookmarkEnd w:id="24"/>
    </w:p>
    <w:p>
      <w:pPr>
        <w:tabs>
          <w:tab w:val="clear" w:pos="426"/>
        </w:tabs>
        <w:spacing w:line="300" w:lineRule="auto"/>
        <w:rPr>
          <w:szCs w:val="21"/>
          <w:highlight w:val="none"/>
        </w:rPr>
      </w:pPr>
    </w:p>
    <w:p>
      <w:pPr>
        <w:tabs>
          <w:tab w:val="clear" w:pos="426"/>
        </w:tabs>
        <w:spacing w:line="300" w:lineRule="auto"/>
        <w:rPr>
          <w:szCs w:val="21"/>
          <w:highlight w:val="none"/>
        </w:rPr>
      </w:pPr>
      <w:r>
        <w:rPr>
          <w:rFonts w:hint="eastAsia"/>
          <w:szCs w:val="21"/>
          <w:highlight w:val="none"/>
        </w:rPr>
        <w:t>致深圳市深水水务咨询有限公司：</w:t>
      </w:r>
    </w:p>
    <w:p>
      <w:pPr>
        <w:tabs>
          <w:tab w:val="clear" w:pos="426"/>
        </w:tabs>
        <w:spacing w:afterLines="50"/>
        <w:ind w:firstLine="420" w:firstLineChars="200"/>
        <w:rPr>
          <w:szCs w:val="21"/>
          <w:highlight w:val="none"/>
        </w:rPr>
      </w:pPr>
      <w:r>
        <w:rPr>
          <w:rFonts w:hint="eastAsia"/>
          <w:szCs w:val="21"/>
          <w:highlight w:val="none"/>
        </w:rPr>
        <w:t>1.根据已收到贵方的采购项目编号为</w:t>
      </w:r>
      <w:r>
        <w:rPr>
          <w:rFonts w:hint="eastAsia"/>
          <w:szCs w:val="21"/>
          <w:highlight w:val="none"/>
          <w:u w:val="single"/>
        </w:rPr>
        <w:t xml:space="preserve">                       </w:t>
      </w:r>
      <w:r>
        <w:rPr>
          <w:rFonts w:hint="eastAsia"/>
          <w:szCs w:val="21"/>
          <w:highlight w:val="none"/>
        </w:rPr>
        <w:t>项目的谈判文件，我单位经研究上述谈判文件的专用条款及通用条款后，我方愿以谈判应答书《谈判初始报价一览表》中填写的谈判应答报价并按谈判文件要求承包上述项目并修补其任何缺陷。</w:t>
      </w:r>
    </w:p>
    <w:p>
      <w:pPr>
        <w:tabs>
          <w:tab w:val="clear" w:pos="426"/>
        </w:tabs>
        <w:spacing w:afterLines="50"/>
        <w:ind w:firstLine="420" w:firstLineChars="200"/>
        <w:rPr>
          <w:szCs w:val="21"/>
          <w:highlight w:val="none"/>
        </w:rPr>
      </w:pPr>
      <w:r>
        <w:rPr>
          <w:szCs w:val="21"/>
          <w:highlight w:val="none"/>
        </w:rPr>
        <w:t>2</w:t>
      </w:r>
      <w:r>
        <w:rPr>
          <w:rFonts w:hint="eastAsia"/>
          <w:szCs w:val="21"/>
          <w:highlight w:val="none"/>
        </w:rPr>
        <w:t>.我方已认真核实了谈判应答文件的全部资料，所有资料均为真实资料。我方对谈判应答文件中全部谈判应答资料的真实性负责，如被证实我方的谈判应答文件中存在虚假资料的，则视为我方隐瞒真实情况、提供虚假资料，我方愿意接受主管部门作出的行政处罚。</w:t>
      </w:r>
    </w:p>
    <w:p>
      <w:pPr>
        <w:tabs>
          <w:tab w:val="clear" w:pos="426"/>
        </w:tabs>
        <w:spacing w:afterLines="50"/>
        <w:ind w:firstLine="411" w:firstLineChars="196"/>
        <w:rPr>
          <w:szCs w:val="21"/>
          <w:highlight w:val="none"/>
        </w:rPr>
      </w:pPr>
      <w:r>
        <w:rPr>
          <w:rFonts w:hint="eastAsia"/>
          <w:szCs w:val="21"/>
          <w:highlight w:val="none"/>
        </w:rPr>
        <w:t>3.我方同意所递交的谈判应答文件在“对通用条款的补充内容”中的谈判应答有效期内有效，在此期间内我方的谈判应答有可能成交，我方将受此约束。如果在谈判应答有效期内撤回其谈判应答，其谈判应答保证金将全部被没收。</w:t>
      </w:r>
    </w:p>
    <w:p>
      <w:pPr>
        <w:tabs>
          <w:tab w:val="clear" w:pos="426"/>
        </w:tabs>
        <w:spacing w:afterLines="50"/>
        <w:ind w:firstLine="411" w:firstLineChars="196"/>
        <w:rPr>
          <w:szCs w:val="21"/>
          <w:highlight w:val="none"/>
        </w:rPr>
      </w:pPr>
      <w:r>
        <w:rPr>
          <w:rFonts w:hint="eastAsia"/>
          <w:szCs w:val="21"/>
          <w:highlight w:val="none"/>
        </w:rPr>
        <w:t>4.除非另外达成协议并生效，贵方的成交通知书和本谈判应答文件将构成约束我们双方的合同。</w:t>
      </w:r>
    </w:p>
    <w:p>
      <w:pPr>
        <w:tabs>
          <w:tab w:val="clear" w:pos="426"/>
        </w:tabs>
        <w:spacing w:afterLines="50"/>
        <w:ind w:firstLine="411" w:firstLineChars="196"/>
        <w:rPr>
          <w:szCs w:val="21"/>
          <w:highlight w:val="none"/>
        </w:rPr>
      </w:pPr>
      <w:r>
        <w:rPr>
          <w:rFonts w:hint="eastAsia"/>
          <w:szCs w:val="21"/>
          <w:highlight w:val="none"/>
        </w:rPr>
        <w:t>5</w:t>
      </w:r>
      <w:r>
        <w:rPr>
          <w:szCs w:val="21"/>
          <w:highlight w:val="none"/>
        </w:rPr>
        <w:t>.</w:t>
      </w:r>
      <w:r>
        <w:rPr>
          <w:rFonts w:hint="eastAsia"/>
          <w:szCs w:val="21"/>
          <w:highlight w:val="none"/>
        </w:rPr>
        <w:t>我方理解贵方将不受必须接受你们所收到的最低标价或其它任何谈判应答文件的约束。</w:t>
      </w:r>
    </w:p>
    <w:p>
      <w:pPr>
        <w:tabs>
          <w:tab w:val="clear" w:pos="426"/>
        </w:tabs>
        <w:spacing w:line="300" w:lineRule="auto"/>
        <w:ind w:left="424" w:leftChars="202"/>
        <w:rPr>
          <w:szCs w:val="21"/>
          <w:highlight w:val="none"/>
        </w:rPr>
      </w:pPr>
    </w:p>
    <w:p>
      <w:pPr>
        <w:tabs>
          <w:tab w:val="clear" w:pos="426"/>
        </w:tabs>
        <w:spacing w:line="300" w:lineRule="auto"/>
        <w:ind w:left="424" w:leftChars="202"/>
        <w:rPr>
          <w:szCs w:val="21"/>
          <w:highlight w:val="none"/>
        </w:rPr>
      </w:pPr>
    </w:p>
    <w:p>
      <w:pPr>
        <w:tabs>
          <w:tab w:val="clear" w:pos="426"/>
        </w:tabs>
        <w:spacing w:line="300" w:lineRule="auto"/>
        <w:ind w:left="424" w:leftChars="202"/>
        <w:rPr>
          <w:szCs w:val="21"/>
          <w:highlight w:val="none"/>
        </w:rPr>
      </w:pPr>
    </w:p>
    <w:p>
      <w:pPr>
        <w:tabs>
          <w:tab w:val="clear" w:pos="426"/>
        </w:tabs>
        <w:spacing w:line="300" w:lineRule="auto"/>
        <w:ind w:left="424" w:leftChars="202"/>
        <w:rPr>
          <w:szCs w:val="21"/>
          <w:highlight w:val="none"/>
          <w:u w:val="none"/>
        </w:rPr>
      </w:pPr>
      <w:r>
        <w:rPr>
          <w:rFonts w:hint="eastAsia"/>
          <w:szCs w:val="21"/>
          <w:highlight w:val="none"/>
        </w:rPr>
        <w:t>地址：</w:t>
      </w:r>
      <w:r>
        <w:rPr>
          <w:rFonts w:hint="eastAsia"/>
          <w:szCs w:val="21"/>
          <w:highlight w:val="none"/>
          <w:u w:val="none"/>
        </w:rPr>
        <w:t>__________________________  电话：________________________</w:t>
      </w:r>
    </w:p>
    <w:p>
      <w:pPr>
        <w:tabs>
          <w:tab w:val="clear" w:pos="426"/>
        </w:tabs>
        <w:spacing w:line="300" w:lineRule="auto"/>
        <w:ind w:left="424" w:leftChars="202"/>
        <w:rPr>
          <w:szCs w:val="21"/>
          <w:highlight w:val="none"/>
          <w:u w:val="none"/>
        </w:rPr>
      </w:pPr>
      <w:r>
        <w:rPr>
          <w:rFonts w:hint="eastAsia"/>
          <w:szCs w:val="21"/>
          <w:highlight w:val="none"/>
          <w:u w:val="none"/>
        </w:rPr>
        <w:t>谈判应答人名称（公章）：_____________________________________________</w:t>
      </w:r>
    </w:p>
    <w:p>
      <w:pPr>
        <w:tabs>
          <w:tab w:val="clear" w:pos="426"/>
        </w:tabs>
        <w:spacing w:line="300" w:lineRule="auto"/>
        <w:ind w:left="424" w:leftChars="202"/>
        <w:rPr>
          <w:szCs w:val="21"/>
          <w:highlight w:val="none"/>
          <w:u w:val="none"/>
        </w:rPr>
      </w:pPr>
      <w:r>
        <w:rPr>
          <w:rFonts w:hint="eastAsia"/>
          <w:szCs w:val="21"/>
          <w:highlight w:val="none"/>
          <w:u w:val="none"/>
        </w:rPr>
        <w:t>谈判应答人代表（签字)： _____________________________________________</w:t>
      </w:r>
    </w:p>
    <w:p>
      <w:pPr>
        <w:tabs>
          <w:tab w:val="clear" w:pos="426"/>
        </w:tabs>
        <w:spacing w:line="300" w:lineRule="auto"/>
        <w:ind w:left="424" w:leftChars="202"/>
        <w:rPr>
          <w:szCs w:val="21"/>
          <w:highlight w:val="none"/>
          <w:u w:val="none"/>
        </w:rPr>
      </w:pPr>
      <w:r>
        <w:rPr>
          <w:rFonts w:hint="eastAsia"/>
          <w:szCs w:val="21"/>
          <w:highlight w:val="none"/>
          <w:u w:val="none"/>
        </w:rPr>
        <w:t>日期：___________________________________________________________</w:t>
      </w:r>
    </w:p>
    <w:p>
      <w:pPr>
        <w:tabs>
          <w:tab w:val="clear" w:pos="426"/>
        </w:tabs>
        <w:spacing w:line="300" w:lineRule="auto"/>
        <w:rPr>
          <w:highlight w:val="none"/>
        </w:rPr>
      </w:pPr>
    </w:p>
    <w:p>
      <w:pPr>
        <w:tabs>
          <w:tab w:val="clear" w:pos="426"/>
        </w:tabs>
        <w:spacing w:line="300" w:lineRule="auto"/>
        <w:rPr>
          <w:highlight w:val="none"/>
        </w:rPr>
      </w:pPr>
    </w:p>
    <w:p>
      <w:pPr>
        <w:tabs>
          <w:tab w:val="clear" w:pos="426"/>
        </w:tabs>
        <w:spacing w:line="300" w:lineRule="auto"/>
        <w:rPr>
          <w:highlight w:val="none"/>
        </w:rPr>
      </w:pPr>
    </w:p>
    <w:p>
      <w:pPr>
        <w:tabs>
          <w:tab w:val="clear" w:pos="426"/>
        </w:tabs>
        <w:spacing w:line="300" w:lineRule="auto"/>
        <w:rPr>
          <w:highlight w:val="none"/>
        </w:rPr>
      </w:pPr>
    </w:p>
    <w:p>
      <w:pPr>
        <w:tabs>
          <w:tab w:val="clear" w:pos="426"/>
        </w:tabs>
        <w:adjustRightInd/>
        <w:snapToGrid/>
        <w:spacing w:before="280" w:after="290" w:line="377" w:lineRule="auto"/>
        <w:outlineLvl w:val="2"/>
        <w:rPr>
          <w:b/>
          <w:sz w:val="24"/>
          <w:highlight w:val="none"/>
        </w:rPr>
      </w:pPr>
      <w:r>
        <w:rPr>
          <w:b/>
          <w:highlight w:val="none"/>
        </w:rPr>
        <w:br w:type="page"/>
      </w:r>
      <w:r>
        <w:rPr>
          <w:rFonts w:hint="eastAsia"/>
          <w:b/>
          <w:highlight w:val="none"/>
        </w:rPr>
        <w:t>二、</w:t>
      </w:r>
      <w:r>
        <w:rPr>
          <w:rFonts w:hint="eastAsia"/>
          <w:b/>
          <w:sz w:val="24"/>
          <w:highlight w:val="none"/>
        </w:rPr>
        <w:t>政府采购谈判应答及履约承诺函</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政府采购谈判应答及履约承诺函</w:t>
      </w:r>
    </w:p>
    <w:p>
      <w:pPr>
        <w:tabs>
          <w:tab w:val="clear" w:pos="426"/>
        </w:tabs>
        <w:rPr>
          <w:highlight w:val="none"/>
        </w:rPr>
      </w:pPr>
    </w:p>
    <w:p>
      <w:pPr>
        <w:tabs>
          <w:tab w:val="clear" w:pos="426"/>
        </w:tabs>
        <w:rPr>
          <w:highlight w:val="none"/>
        </w:rPr>
      </w:pPr>
      <w:r>
        <w:rPr>
          <w:rFonts w:hint="eastAsia"/>
          <w:highlight w:val="none"/>
        </w:rPr>
        <w:t>致深圳市深水水务咨询有限公司：</w:t>
      </w:r>
    </w:p>
    <w:p>
      <w:pPr>
        <w:tabs>
          <w:tab w:val="clear" w:pos="426"/>
        </w:tabs>
        <w:spacing w:beforeLines="50" w:line="240" w:lineRule="auto"/>
        <w:ind w:firstLine="424" w:firstLineChars="202"/>
        <w:rPr>
          <w:highlight w:val="none"/>
          <w:u w:val="none"/>
        </w:rPr>
      </w:pPr>
      <w:r>
        <w:rPr>
          <w:rFonts w:hint="eastAsia"/>
          <w:highlight w:val="none"/>
          <w:u w:val="none"/>
        </w:rPr>
        <w:t>关于贵公司______年____月____日发布</w:t>
      </w:r>
      <w:r>
        <w:rPr>
          <w:rFonts w:hint="eastAsia"/>
          <w:highlight w:val="none"/>
          <w:u w:val="none"/>
          <w:lang w:val="en-US" w:eastAsia="zh-CN"/>
        </w:rPr>
        <w:t>的</w:t>
      </w:r>
      <w:r>
        <w:rPr>
          <w:rFonts w:hint="eastAsia" w:ascii="Times New Roman" w:hAnsi="Times New Roman" w:cs="Times New Roman"/>
          <w:kern w:val="2"/>
          <w:szCs w:val="20"/>
          <w:highlight w:val="none"/>
          <w:u w:val="single"/>
        </w:rPr>
        <w:t>车辆租赁服务</w:t>
      </w:r>
      <w:r>
        <w:rPr>
          <w:rFonts w:hint="eastAsia"/>
          <w:highlight w:val="none"/>
          <w:u w:val="none"/>
          <w:lang w:val="en-US" w:eastAsia="zh-CN"/>
        </w:rPr>
        <w:t>项目</w:t>
      </w:r>
      <w:r>
        <w:rPr>
          <w:rFonts w:hint="eastAsia"/>
          <w:highlight w:val="none"/>
          <w:u w:val="none"/>
        </w:rPr>
        <w:t>（</w:t>
      </w:r>
      <w:r>
        <w:rPr>
          <w:rFonts w:hint="eastAsia"/>
          <w:highlight w:val="none"/>
          <w:u w:val="single"/>
        </w:rPr>
        <w:t>采购项目编号</w:t>
      </w:r>
      <w:r>
        <w:rPr>
          <w:rFonts w:hint="eastAsia"/>
          <w:highlight w:val="none"/>
          <w:u w:val="single"/>
          <w:lang w:eastAsia="zh-CN"/>
        </w:rPr>
        <w:t>：</w:t>
      </w:r>
      <w:r>
        <w:rPr>
          <w:rFonts w:hint="eastAsia"/>
          <w:highlight w:val="none"/>
          <w:u w:val="none"/>
        </w:rPr>
        <w:t>）的采购公告，本公司（企业）愿意参加谈判应答，并声明：</w:t>
      </w:r>
    </w:p>
    <w:p>
      <w:pPr>
        <w:tabs>
          <w:tab w:val="clear" w:pos="426"/>
        </w:tabs>
        <w:spacing w:line="240" w:lineRule="auto"/>
        <w:ind w:firstLine="424" w:firstLineChars="202"/>
        <w:rPr>
          <w:highlight w:val="none"/>
          <w:u w:val="none"/>
        </w:rPr>
      </w:pPr>
      <w:r>
        <w:rPr>
          <w:highlight w:val="none"/>
          <w:u w:val="none"/>
        </w:rPr>
        <w:t>1.我公司本谈判项目所提供的货物或服务未侵犯知识产权。</w:t>
      </w:r>
    </w:p>
    <w:p>
      <w:pPr>
        <w:tabs>
          <w:tab w:val="clear" w:pos="426"/>
        </w:tabs>
        <w:spacing w:line="240" w:lineRule="auto"/>
        <w:ind w:firstLine="426" w:firstLineChars="202"/>
        <w:rPr>
          <w:b/>
          <w:highlight w:val="none"/>
          <w:u w:val="none"/>
        </w:rPr>
      </w:pPr>
      <w:r>
        <w:rPr>
          <w:b/>
          <w:highlight w:val="none"/>
          <w:u w:val="none"/>
        </w:rPr>
        <w:t>2.我公司参与本项目谈判应答前三年内，在经营活动中没有重大违法记录。</w:t>
      </w:r>
    </w:p>
    <w:p>
      <w:pPr>
        <w:tabs>
          <w:tab w:val="clear" w:pos="426"/>
        </w:tabs>
        <w:spacing w:line="240" w:lineRule="auto"/>
        <w:ind w:firstLine="426" w:firstLineChars="202"/>
        <w:rPr>
          <w:b/>
          <w:highlight w:val="none"/>
          <w:u w:val="none"/>
        </w:rPr>
      </w:pPr>
      <w:r>
        <w:rPr>
          <w:b/>
          <w:highlight w:val="none"/>
          <w:u w:val="none"/>
        </w:rPr>
        <w:t>3.我公司参与本项目政府采购活动时不存在被有关部门禁止参与政府采购活动且在有效期内的情况。</w:t>
      </w:r>
    </w:p>
    <w:p>
      <w:pPr>
        <w:tabs>
          <w:tab w:val="clear" w:pos="426"/>
        </w:tabs>
        <w:spacing w:line="240" w:lineRule="auto"/>
        <w:ind w:firstLine="426" w:firstLineChars="202"/>
        <w:rPr>
          <w:b/>
          <w:highlight w:val="none"/>
          <w:u w:val="none"/>
        </w:rPr>
      </w:pPr>
      <w:r>
        <w:rPr>
          <w:b/>
          <w:highlight w:val="none"/>
          <w:u w:val="none"/>
        </w:rPr>
        <w:t>4.我公司具备《中华人民共和国政府采购法》第二十二条规定的资质。</w:t>
      </w:r>
    </w:p>
    <w:p>
      <w:pPr>
        <w:tabs>
          <w:tab w:val="clear" w:pos="426"/>
        </w:tabs>
        <w:spacing w:line="240" w:lineRule="auto"/>
        <w:ind w:firstLine="426" w:firstLineChars="202"/>
        <w:rPr>
          <w:b/>
          <w:highlight w:val="none"/>
          <w:u w:val="none"/>
        </w:rPr>
      </w:pPr>
      <w:r>
        <w:rPr>
          <w:b/>
          <w:highlight w:val="none"/>
          <w:u w:val="none"/>
        </w:rPr>
        <w:t>5.我公司未被列入失信被执行人、重大税收违法案件当事人名单、政府采购严重违法失信行为记录名单</w:t>
      </w:r>
    </w:p>
    <w:p>
      <w:pPr>
        <w:tabs>
          <w:tab w:val="clear" w:pos="426"/>
        </w:tabs>
        <w:spacing w:line="240" w:lineRule="auto"/>
        <w:ind w:firstLine="424" w:firstLineChars="202"/>
        <w:rPr>
          <w:highlight w:val="none"/>
          <w:u w:val="none"/>
        </w:rPr>
      </w:pPr>
      <w:r>
        <w:rPr>
          <w:highlight w:val="none"/>
          <w:u w:val="none"/>
        </w:rPr>
        <w:t>6.我公司参与该项目谈判应答，严格遵守政府采购相关法律，谈判应答做到诚实，不造假，不围标、串标、陪标。我公司已清楚，如违反上述要求，其谈判应答将作废，被没收谈判应答保证金，被列入不良记录名单并在网上曝光，同时将被提请政府采购监督管理部门给予一定年限内禁止参与政府采购活动或其他处罚。</w:t>
      </w:r>
    </w:p>
    <w:p>
      <w:pPr>
        <w:tabs>
          <w:tab w:val="clear" w:pos="426"/>
        </w:tabs>
        <w:spacing w:line="240" w:lineRule="auto"/>
        <w:ind w:firstLine="424" w:firstLineChars="202"/>
        <w:rPr>
          <w:highlight w:val="none"/>
          <w:u w:val="none"/>
        </w:rPr>
      </w:pPr>
      <w:r>
        <w:rPr>
          <w:highlight w:val="none"/>
          <w:u w:val="none"/>
        </w:rPr>
        <w:t>7.我公司如果成交，做到守信，不偷工减料，依照本项目谈判文件需求内容、签署的采购合同及本公司在谈判应答中所作的一切承诺履约。项目验收达到全部指标合格，力争优良。</w:t>
      </w:r>
    </w:p>
    <w:p>
      <w:pPr>
        <w:tabs>
          <w:tab w:val="clear" w:pos="426"/>
        </w:tabs>
        <w:spacing w:line="240" w:lineRule="auto"/>
        <w:ind w:firstLine="424" w:firstLineChars="202"/>
        <w:rPr>
          <w:highlight w:val="none"/>
          <w:u w:val="none"/>
        </w:rPr>
      </w:pPr>
      <w:r>
        <w:rPr>
          <w:highlight w:val="none"/>
          <w:u w:val="none"/>
        </w:rPr>
        <w:t>8.我公司承诺本项目的报价不低于我公司的成本价，否则，我公司清楚将面临谈判应答无效的风险；我公司承诺不恶意低价谋取成交；我公司对本项目的报价负责，成交后将严格按照本项目谈判文件需求、签署的采购合同及我公司在谈判应答中所作的全部承诺履行。我公司清楚，若我公司以“报价太低而无法履约”为理由放弃本项目成交资格时，谈判应答保证金将不被退还，且愿意接受主管部门的处理处罚。若我公司成交本项目，我公司的报价明显低于其他谈判应答人的报价时，我公司清楚，本项目将成为重点监管、重点验收项目，我公司将按时保质保量完成，并全力配合有关监管、验收工</w:t>
      </w:r>
      <w:r>
        <w:rPr>
          <w:rFonts w:hint="eastAsia"/>
          <w:highlight w:val="none"/>
          <w:u w:val="none"/>
        </w:rPr>
        <w:t>作；若我公司未按上述要求履约，我公司愿意接受主管部门的处理处罚。</w:t>
      </w:r>
    </w:p>
    <w:p>
      <w:pPr>
        <w:tabs>
          <w:tab w:val="clear" w:pos="426"/>
        </w:tabs>
        <w:spacing w:line="240" w:lineRule="auto"/>
        <w:ind w:firstLine="424" w:firstLineChars="202"/>
        <w:rPr>
          <w:highlight w:val="none"/>
          <w:u w:val="none"/>
        </w:rPr>
      </w:pPr>
      <w:r>
        <w:rPr>
          <w:highlight w:val="none"/>
          <w:u w:val="none"/>
        </w:rPr>
        <w:t>9.我公司已认真核实了谈判应答文件的全部内容，所有资料均为真实资料。我公司对谈判应答文件中全部谈判应答资料的真实性负责，如被证实我公司的谈判应答文件中存在虚假资料的，则视为我公司隐瞒真实情况、提供虚假资料，我公司愿意接受主管部门作出的行政处罚。</w:t>
      </w:r>
    </w:p>
    <w:p>
      <w:pPr>
        <w:tabs>
          <w:tab w:val="clear" w:pos="426"/>
        </w:tabs>
        <w:spacing w:line="240" w:lineRule="auto"/>
        <w:ind w:firstLine="424" w:firstLineChars="202"/>
        <w:rPr>
          <w:highlight w:val="none"/>
          <w:u w:val="none"/>
        </w:rPr>
      </w:pPr>
      <w:r>
        <w:rPr>
          <w:highlight w:val="none"/>
          <w:u w:val="none"/>
        </w:rPr>
        <w:t>10.我公司承诺不非法转包、分包。</w:t>
      </w:r>
    </w:p>
    <w:p>
      <w:pPr>
        <w:tabs>
          <w:tab w:val="clear" w:pos="426"/>
        </w:tabs>
        <w:spacing w:line="240" w:lineRule="auto"/>
        <w:ind w:firstLine="424" w:firstLineChars="202"/>
        <w:rPr>
          <w:highlight w:val="none"/>
          <w:u w:val="none"/>
        </w:rPr>
      </w:pPr>
      <w:r>
        <w:rPr>
          <w:rFonts w:hint="eastAsia"/>
          <w:highlight w:val="none"/>
          <w:u w:val="none"/>
        </w:rPr>
        <w:t>以上承诺，如有违反，愿依照国家相关法律处理，并承担由此给采购人带来的损失。</w:t>
      </w:r>
    </w:p>
    <w:p>
      <w:pPr>
        <w:tabs>
          <w:tab w:val="clear" w:pos="426"/>
        </w:tabs>
        <w:spacing w:line="240" w:lineRule="auto"/>
        <w:ind w:firstLine="420"/>
        <w:rPr>
          <w:highlight w:val="none"/>
          <w:u w:val="none"/>
        </w:rPr>
      </w:pPr>
      <w:r>
        <w:rPr>
          <w:rFonts w:hint="eastAsia"/>
          <w:highlight w:val="none"/>
          <w:u w:val="none"/>
        </w:rPr>
        <w:t>特此声明！</w:t>
      </w:r>
    </w:p>
    <w:p>
      <w:pPr>
        <w:tabs>
          <w:tab w:val="clear" w:pos="426"/>
        </w:tabs>
        <w:spacing w:line="240" w:lineRule="auto"/>
        <w:ind w:firstLine="420"/>
        <w:rPr>
          <w:highlight w:val="none"/>
          <w:u w:val="none"/>
        </w:rPr>
      </w:pPr>
    </w:p>
    <w:p>
      <w:pPr>
        <w:tabs>
          <w:tab w:val="clear" w:pos="426"/>
        </w:tabs>
        <w:ind w:firstLine="420"/>
        <w:rPr>
          <w:highlight w:val="none"/>
          <w:u w:val="none"/>
        </w:rPr>
      </w:pPr>
    </w:p>
    <w:p>
      <w:pPr>
        <w:tabs>
          <w:tab w:val="clear" w:pos="426"/>
        </w:tabs>
        <w:ind w:firstLine="420"/>
        <w:rPr>
          <w:highlight w:val="none"/>
          <w:u w:val="none"/>
        </w:rPr>
      </w:pPr>
    </w:p>
    <w:p>
      <w:pPr>
        <w:tabs>
          <w:tab w:val="clear" w:pos="426"/>
        </w:tabs>
        <w:ind w:firstLine="420"/>
        <w:rPr>
          <w:highlight w:val="none"/>
          <w:u w:val="none"/>
        </w:rPr>
      </w:pPr>
      <w:r>
        <w:rPr>
          <w:rFonts w:hint="eastAsia"/>
          <w:highlight w:val="none"/>
          <w:u w:val="none"/>
        </w:rPr>
        <w:t>单位名称：_____________________________________________________________</w:t>
      </w:r>
    </w:p>
    <w:p>
      <w:pPr>
        <w:tabs>
          <w:tab w:val="clear" w:pos="426"/>
        </w:tabs>
        <w:ind w:firstLine="420"/>
        <w:rPr>
          <w:highlight w:val="none"/>
          <w:u w:val="none"/>
        </w:rPr>
      </w:pPr>
      <w:r>
        <w:rPr>
          <w:rFonts w:hint="eastAsia"/>
          <w:highlight w:val="none"/>
          <w:u w:val="none"/>
        </w:rPr>
        <w:t>法定代表人或谈判应答人授权代表（签名或盖章）：_________________________</w:t>
      </w:r>
    </w:p>
    <w:p>
      <w:pPr>
        <w:tabs>
          <w:tab w:val="clear" w:pos="426"/>
        </w:tabs>
        <w:ind w:firstLine="420"/>
        <w:rPr>
          <w:highlight w:val="none"/>
          <w:u w:val="none"/>
        </w:rPr>
      </w:pPr>
      <w:r>
        <w:rPr>
          <w:rFonts w:hint="eastAsia"/>
          <w:highlight w:val="none"/>
          <w:u w:val="none"/>
        </w:rPr>
        <w:t>单位地址：_____________________________________________________________</w:t>
      </w:r>
    </w:p>
    <w:p>
      <w:pPr>
        <w:tabs>
          <w:tab w:val="clear" w:pos="426"/>
        </w:tabs>
        <w:ind w:firstLine="420"/>
        <w:rPr>
          <w:highlight w:val="none"/>
          <w:u w:val="none"/>
        </w:rPr>
      </w:pPr>
      <w:r>
        <w:rPr>
          <w:rFonts w:hint="eastAsia"/>
          <w:highlight w:val="none"/>
          <w:u w:val="none"/>
        </w:rPr>
        <w:t>单位公章：_____________________________________________________________</w:t>
      </w:r>
    </w:p>
    <w:p>
      <w:pPr>
        <w:tabs>
          <w:tab w:val="clear" w:pos="426"/>
        </w:tabs>
        <w:ind w:firstLine="420"/>
        <w:rPr>
          <w:highlight w:val="none"/>
          <w:u w:val="none"/>
        </w:rPr>
      </w:pPr>
      <w:r>
        <w:rPr>
          <w:rFonts w:hint="eastAsia"/>
          <w:highlight w:val="none"/>
          <w:u w:val="none"/>
        </w:rPr>
        <w:t>邮政编码：_____________________________日期：__________________________</w:t>
      </w:r>
    </w:p>
    <w:p>
      <w:pPr>
        <w:tabs>
          <w:tab w:val="clear" w:pos="426"/>
        </w:tabs>
        <w:ind w:firstLine="420" w:firstLineChars="200"/>
        <w:rPr>
          <w:highlight w:val="none"/>
          <w:u w:val="none"/>
        </w:rPr>
      </w:pPr>
      <w:r>
        <w:rPr>
          <w:rFonts w:hint="eastAsia"/>
          <w:highlight w:val="none"/>
          <w:u w:val="none"/>
        </w:rPr>
        <w:t>联系电话：______________________________</w:t>
      </w:r>
      <w:bookmarkStart w:id="25" w:name="_Toc50736477"/>
      <w:bookmarkStart w:id="26" w:name="_Toc50737297"/>
      <w:bookmarkStart w:id="27" w:name="_Toc50737329"/>
      <w:bookmarkStart w:id="28" w:name="_Toc52165081"/>
      <w:bookmarkStart w:id="29" w:name="_Toc275865607"/>
      <w:bookmarkStart w:id="30" w:name="_Toc480754205"/>
      <w:bookmarkStart w:id="31" w:name="_Toc50737328"/>
      <w:bookmarkStart w:id="32" w:name="_Toc50691034"/>
      <w:bookmarkStart w:id="33" w:name="_Toc50736476"/>
      <w:bookmarkStart w:id="34" w:name="_Toc50737296"/>
      <w:bookmarkStart w:id="35" w:name="_Toc52165080"/>
      <w:r>
        <w:rPr>
          <w:rFonts w:hint="eastAsia"/>
          <w:highlight w:val="none"/>
          <w:u w:val="none"/>
        </w:rPr>
        <w:t>_______________________________</w:t>
      </w:r>
    </w:p>
    <w:p>
      <w:pPr>
        <w:tabs>
          <w:tab w:val="clear" w:pos="426"/>
        </w:tabs>
        <w:rPr>
          <w:highlight w:val="none"/>
          <w:u w:val="single"/>
        </w:rPr>
      </w:pPr>
    </w:p>
    <w:p>
      <w:pPr>
        <w:tabs>
          <w:tab w:val="clear" w:pos="426"/>
        </w:tabs>
        <w:adjustRightInd/>
        <w:snapToGrid/>
        <w:spacing w:before="280" w:after="290" w:line="377" w:lineRule="auto"/>
        <w:outlineLvl w:val="2"/>
        <w:rPr>
          <w:b/>
          <w:sz w:val="24"/>
          <w:highlight w:val="none"/>
        </w:rPr>
      </w:pPr>
      <w:r>
        <w:rPr>
          <w:sz w:val="28"/>
          <w:szCs w:val="28"/>
          <w:highlight w:val="none"/>
        </w:rPr>
        <w:br w:type="page"/>
      </w:r>
      <w:r>
        <w:rPr>
          <w:rFonts w:hint="eastAsia"/>
          <w:sz w:val="28"/>
          <w:szCs w:val="28"/>
          <w:highlight w:val="none"/>
        </w:rPr>
        <w:t>三、</w:t>
      </w:r>
      <w:r>
        <w:rPr>
          <w:rFonts w:hint="eastAsia"/>
          <w:b/>
          <w:sz w:val="24"/>
          <w:highlight w:val="none"/>
        </w:rPr>
        <w:t>法定代表人授权委托书、法定代表人证明书</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法定代表人授权委托书</w:t>
      </w:r>
      <w:bookmarkEnd w:id="25"/>
      <w:bookmarkEnd w:id="26"/>
      <w:bookmarkEnd w:id="27"/>
      <w:bookmarkEnd w:id="28"/>
      <w:bookmarkEnd w:id="29"/>
      <w:bookmarkEnd w:id="30"/>
    </w:p>
    <w:p>
      <w:pPr>
        <w:tabs>
          <w:tab w:val="clear" w:pos="426"/>
        </w:tabs>
        <w:ind w:firstLine="420" w:firstLineChars="200"/>
        <w:rPr>
          <w:rFonts w:hAnsi="Courier New" w:cs="Times New Roman"/>
          <w:kern w:val="2"/>
          <w:szCs w:val="20"/>
          <w:highlight w:val="none"/>
        </w:rPr>
      </w:pPr>
    </w:p>
    <w:p>
      <w:pPr>
        <w:tabs>
          <w:tab w:val="clear" w:pos="426"/>
        </w:tabs>
        <w:ind w:firstLine="420" w:firstLineChars="200"/>
        <w:rPr>
          <w:rFonts w:hAnsi="Courier New" w:cs="Times New Roman"/>
          <w:kern w:val="2"/>
          <w:szCs w:val="20"/>
          <w:highlight w:val="none"/>
        </w:rPr>
      </w:pPr>
      <w:r>
        <w:rPr>
          <w:rFonts w:hint="eastAsia" w:hAnsi="Courier New" w:cs="Times New Roman"/>
          <w:kern w:val="2"/>
          <w:szCs w:val="20"/>
          <w:highlight w:val="none"/>
          <w:u w:val="single"/>
        </w:rPr>
        <w:t>本授权委托书声明：注册于</w:t>
      </w:r>
      <w:r>
        <w:rPr>
          <w:rFonts w:hint="eastAsia" w:hAnsi="Courier New" w:cs="Times New Roman"/>
          <w:kern w:val="2"/>
          <w:szCs w:val="20"/>
          <w:highlight w:val="none"/>
          <w:u w:val="none"/>
        </w:rPr>
        <w:t>_（谈判应答人地址）__的__（谈判应答人名称）____</w:t>
      </w:r>
      <w:r>
        <w:rPr>
          <w:rFonts w:hint="eastAsia" w:hAnsi="Courier New" w:cs="Times New Roman"/>
          <w:kern w:val="2"/>
          <w:szCs w:val="20"/>
          <w:highlight w:val="none"/>
          <w:u w:val="single"/>
        </w:rPr>
        <w:t>在下面签名的（法定代表人姓名、职务）在此授权（被授权人姓名、职务）作为我公司的合法代理人，就（</w:t>
      </w:r>
      <w:r>
        <w:rPr>
          <w:rFonts w:hint="eastAsia" w:ascii="Times New Roman" w:hAnsi="Times New Roman" w:cs="Times New Roman"/>
          <w:kern w:val="2"/>
          <w:szCs w:val="20"/>
          <w:highlight w:val="none"/>
          <w:u w:val="single"/>
        </w:rPr>
        <w:t>车辆租赁服务项目</w:t>
      </w:r>
      <w:r>
        <w:rPr>
          <w:rFonts w:hint="eastAsia" w:hAnsi="Courier New" w:cs="Times New Roman"/>
          <w:kern w:val="2"/>
          <w:szCs w:val="20"/>
          <w:highlight w:val="none"/>
          <w:u w:val="single"/>
        </w:rPr>
        <w:t>、采购项目编号：</w:t>
      </w:r>
      <w:r>
        <w:rPr>
          <w:rFonts w:hint="eastAsia"/>
          <w:highlight w:val="none"/>
          <w:u w:val="single"/>
          <w:lang w:val="en-US" w:eastAsia="zh-CN"/>
        </w:rPr>
        <w:t xml:space="preserve">    </w:t>
      </w:r>
      <w:r>
        <w:rPr>
          <w:rFonts w:hint="eastAsia" w:hAnsi="Courier New" w:cs="Times New Roman"/>
          <w:kern w:val="2"/>
          <w:szCs w:val="20"/>
          <w:highlight w:val="none"/>
          <w:u w:val="single"/>
        </w:rPr>
        <w:t>）</w:t>
      </w:r>
      <w:r>
        <w:rPr>
          <w:rFonts w:hint="eastAsia" w:hAnsi="Courier New" w:cs="Times New Roman"/>
          <w:kern w:val="2"/>
          <w:szCs w:val="20"/>
          <w:highlight w:val="none"/>
        </w:rPr>
        <w:t>的招谈判应答活动，采购合同的签订、执行、完成和售后服务，作为谈判应答人代表以我方的名义处理一切与之有关的事务。</w:t>
      </w:r>
    </w:p>
    <w:p>
      <w:pPr>
        <w:tabs>
          <w:tab w:val="clear" w:pos="426"/>
        </w:tabs>
        <w:ind w:firstLine="420" w:firstLineChars="200"/>
        <w:rPr>
          <w:rFonts w:hAnsi="Courier New" w:cs="Times New Roman"/>
          <w:kern w:val="2"/>
          <w:szCs w:val="20"/>
          <w:highlight w:val="none"/>
        </w:rPr>
      </w:pPr>
      <w:r>
        <w:rPr>
          <w:rFonts w:hint="eastAsia" w:hAnsi="Courier New" w:cs="Times New Roman"/>
          <w:kern w:val="2"/>
          <w:szCs w:val="20"/>
          <w:highlight w:val="none"/>
        </w:rPr>
        <w:t>被授权人（谈判应答人授权代表）无转委托权限。</w:t>
      </w:r>
    </w:p>
    <w:p>
      <w:pPr>
        <w:tabs>
          <w:tab w:val="clear" w:pos="426"/>
        </w:tabs>
        <w:ind w:firstLine="420" w:firstLineChars="200"/>
        <w:rPr>
          <w:szCs w:val="21"/>
          <w:highlight w:val="none"/>
        </w:rPr>
      </w:pPr>
      <w:r>
        <w:rPr>
          <w:rFonts w:hint="eastAsia"/>
          <w:szCs w:val="21"/>
          <w:highlight w:val="none"/>
        </w:rPr>
        <w:t>本授权书自法定代表人签字之日起生效，特此声明。</w:t>
      </w:r>
    </w:p>
    <w:p>
      <w:pPr>
        <w:tabs>
          <w:tab w:val="clear" w:pos="426"/>
        </w:tabs>
        <w:ind w:firstLine="422" w:firstLineChars="200"/>
        <w:rPr>
          <w:b/>
          <w:szCs w:val="21"/>
          <w:highlight w:val="none"/>
        </w:rPr>
      </w:pPr>
      <w:r>
        <w:rPr>
          <w:rFonts w:hint="eastAsia"/>
          <w:b/>
          <w:szCs w:val="21"/>
          <w:highlight w:val="none"/>
        </w:rPr>
        <w:t>随附《法定代表人证明》</w:t>
      </w:r>
    </w:p>
    <w:p>
      <w:pPr>
        <w:tabs>
          <w:tab w:val="clear" w:pos="426"/>
        </w:tabs>
        <w:ind w:firstLine="422" w:firstLineChars="200"/>
        <w:rPr>
          <w:b/>
          <w:szCs w:val="21"/>
          <w:highlight w:val="none"/>
        </w:rPr>
      </w:pPr>
    </w:p>
    <w:p>
      <w:pPr>
        <w:tabs>
          <w:tab w:val="clear" w:pos="426"/>
        </w:tabs>
        <w:ind w:firstLine="422" w:firstLineChars="200"/>
        <w:rPr>
          <w:b/>
          <w:szCs w:val="21"/>
          <w:highlight w:val="none"/>
        </w:rPr>
      </w:pPr>
    </w:p>
    <w:p>
      <w:pPr>
        <w:tabs>
          <w:tab w:val="clear" w:pos="426"/>
        </w:tabs>
        <w:ind w:firstLine="422" w:firstLineChars="200"/>
        <w:rPr>
          <w:b/>
          <w:szCs w:val="21"/>
          <w:highlight w:val="none"/>
        </w:rPr>
      </w:pPr>
    </w:p>
    <w:p>
      <w:pPr>
        <w:tabs>
          <w:tab w:val="clear" w:pos="426"/>
        </w:tabs>
        <w:ind w:firstLine="424" w:firstLineChars="202"/>
        <w:rPr>
          <w:szCs w:val="21"/>
          <w:highlight w:val="none"/>
          <w:u w:val="none"/>
        </w:rPr>
      </w:pPr>
      <w:r>
        <w:rPr>
          <w:rFonts w:hint="eastAsia"/>
          <w:szCs w:val="21"/>
          <w:highlight w:val="none"/>
        </w:rPr>
        <w:t>谈判应答人名称（单位盖</w:t>
      </w:r>
      <w:r>
        <w:rPr>
          <w:rFonts w:hint="eastAsia"/>
          <w:spacing w:val="4"/>
          <w:szCs w:val="21"/>
          <w:highlight w:val="none"/>
        </w:rPr>
        <w:t>公章</w:t>
      </w:r>
      <w:r>
        <w:rPr>
          <w:rFonts w:hint="eastAsia"/>
          <w:szCs w:val="21"/>
          <w:highlight w:val="none"/>
        </w:rPr>
        <w:t>）</w:t>
      </w:r>
      <w:r>
        <w:rPr>
          <w:rFonts w:hint="eastAsia"/>
          <w:szCs w:val="21"/>
          <w:highlight w:val="none"/>
          <w:u w:val="none"/>
        </w:rPr>
        <w:t>：_____________________________________________________</w:t>
      </w:r>
    </w:p>
    <w:p>
      <w:pPr>
        <w:tabs>
          <w:tab w:val="clear" w:pos="426"/>
        </w:tabs>
        <w:ind w:firstLine="424" w:firstLineChars="202"/>
        <w:rPr>
          <w:szCs w:val="21"/>
          <w:highlight w:val="none"/>
          <w:u w:val="none"/>
        </w:rPr>
      </w:pPr>
      <w:r>
        <w:rPr>
          <w:rFonts w:hint="eastAsia"/>
          <w:szCs w:val="21"/>
          <w:highlight w:val="none"/>
          <w:u w:val="none"/>
        </w:rPr>
        <w:t>地      址：___________________________________________________________________</w:t>
      </w:r>
    </w:p>
    <w:p>
      <w:pPr>
        <w:tabs>
          <w:tab w:val="clear" w:pos="426"/>
        </w:tabs>
        <w:ind w:firstLine="424" w:firstLineChars="202"/>
        <w:rPr>
          <w:szCs w:val="21"/>
          <w:highlight w:val="none"/>
          <w:u w:val="none"/>
        </w:rPr>
      </w:pPr>
      <w:r>
        <w:rPr>
          <w:rFonts w:hint="eastAsia"/>
          <w:szCs w:val="21"/>
          <w:highlight w:val="none"/>
          <w:u w:val="none"/>
        </w:rPr>
        <w:t>法定代表人（签字或盖章）：______________________ 签字日期：________年___月___日</w:t>
      </w:r>
    </w:p>
    <w:p>
      <w:pPr>
        <w:tabs>
          <w:tab w:val="clear" w:pos="426"/>
        </w:tabs>
        <w:ind w:firstLine="424" w:firstLineChars="202"/>
        <w:rPr>
          <w:szCs w:val="21"/>
          <w:highlight w:val="none"/>
          <w:u w:val="none"/>
        </w:rPr>
      </w:pPr>
      <w:r>
        <w:rPr>
          <w:rFonts w:hint="eastAsia"/>
          <w:szCs w:val="21"/>
          <w:highlight w:val="none"/>
          <w:u w:val="none"/>
        </w:rPr>
        <w:t>被授权人（谈判应答人授权代表）（签字或盖章）：____________________________________</w:t>
      </w:r>
    </w:p>
    <w:p>
      <w:pPr>
        <w:tabs>
          <w:tab w:val="clear" w:pos="426"/>
        </w:tabs>
        <w:ind w:firstLine="424" w:firstLineChars="202"/>
        <w:rPr>
          <w:szCs w:val="21"/>
          <w:highlight w:val="none"/>
        </w:rPr>
      </w:pPr>
    </w:p>
    <w:p>
      <w:pPr>
        <w:tabs>
          <w:tab w:val="clear" w:pos="426"/>
        </w:tabs>
        <w:ind w:firstLine="424" w:firstLineChars="202"/>
        <w:rPr>
          <w:szCs w:val="21"/>
          <w:highlight w:val="none"/>
        </w:rPr>
      </w:pPr>
      <w:r>
        <w:rPr>
          <w:rFonts w:hint="eastAsia"/>
          <w:szCs w:val="21"/>
          <w:highlight w:val="none"/>
        </w:rPr>
        <w:t>附：被授权人身份证复印件：</w:t>
      </w:r>
    </w:p>
    <w:p>
      <w:pPr>
        <w:tabs>
          <w:tab w:val="clear" w:pos="426"/>
        </w:tabs>
        <w:ind w:firstLine="424" w:firstLineChars="202"/>
        <w:rPr>
          <w:szCs w:val="21"/>
          <w:highlight w:val="none"/>
        </w:rPr>
      </w:pPr>
    </w:p>
    <w:bookmarkEnd w:id="31"/>
    <w:bookmarkEnd w:id="32"/>
    <w:bookmarkEnd w:id="33"/>
    <w:bookmarkEnd w:id="34"/>
    <w:bookmarkEnd w:id="35"/>
    <w:p>
      <w:pPr>
        <w:tabs>
          <w:tab w:val="clear" w:pos="426"/>
        </w:tabs>
        <w:spacing w:line="300" w:lineRule="auto"/>
        <w:jc w:val="center"/>
        <w:rPr>
          <w:highlight w:val="none"/>
        </w:rPr>
      </w:pPr>
      <w:r>
        <w:rPr>
          <w:highlight w:val="none"/>
        </w:rPr>
        <w:br w:type="page"/>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法定代表人证明书</w:t>
      </w:r>
    </w:p>
    <w:p>
      <w:pPr>
        <w:tabs>
          <w:tab w:val="clear" w:pos="426"/>
        </w:tabs>
        <w:spacing w:line="480" w:lineRule="auto"/>
        <w:ind w:firstLine="424" w:firstLineChars="202"/>
        <w:rPr>
          <w:highlight w:val="none"/>
          <w:u w:val="single"/>
        </w:rPr>
      </w:pPr>
    </w:p>
    <w:p>
      <w:pPr>
        <w:tabs>
          <w:tab w:val="clear" w:pos="426"/>
        </w:tabs>
        <w:spacing w:line="480" w:lineRule="auto"/>
        <w:ind w:firstLine="424" w:firstLineChars="202"/>
        <w:rPr>
          <w:highlight w:val="none"/>
          <w:u w:val="none"/>
        </w:rPr>
      </w:pPr>
      <w:r>
        <w:rPr>
          <w:rFonts w:hint="eastAsia"/>
          <w:highlight w:val="none"/>
          <w:u w:val="none"/>
        </w:rPr>
        <w:t>__________同志，现任我单位</w:t>
      </w:r>
      <w:r>
        <w:rPr>
          <w:highlight w:val="none"/>
          <w:u w:val="none"/>
        </w:rPr>
        <w:t>_________</w:t>
      </w:r>
      <w:r>
        <w:rPr>
          <w:rFonts w:hint="eastAsia"/>
          <w:highlight w:val="none"/>
          <w:u w:val="none"/>
        </w:rPr>
        <w:t>职务，为法定代表人，特此证明。</w:t>
      </w:r>
    </w:p>
    <w:p>
      <w:pPr>
        <w:tabs>
          <w:tab w:val="clear" w:pos="426"/>
        </w:tabs>
        <w:spacing w:line="480" w:lineRule="auto"/>
        <w:ind w:firstLine="424" w:firstLineChars="202"/>
        <w:rPr>
          <w:highlight w:val="none"/>
          <w:u w:val="none"/>
        </w:rPr>
      </w:pPr>
      <w:r>
        <w:rPr>
          <w:rFonts w:hint="eastAsia"/>
          <w:highlight w:val="none"/>
          <w:u w:val="none"/>
        </w:rPr>
        <w:t>本证明书自签发之日起生效，有效期与本公司谈判应答文件成交注的谈判应答有效期相同。</w:t>
      </w:r>
    </w:p>
    <w:p>
      <w:pPr>
        <w:tabs>
          <w:tab w:val="clear" w:pos="426"/>
        </w:tabs>
        <w:spacing w:line="480" w:lineRule="auto"/>
        <w:ind w:firstLine="424" w:firstLineChars="202"/>
        <w:rPr>
          <w:highlight w:val="none"/>
          <w:u w:val="none"/>
        </w:rPr>
      </w:pPr>
      <w:r>
        <w:rPr>
          <w:rFonts w:hint="eastAsia"/>
          <w:highlight w:val="none"/>
          <w:u w:val="none"/>
        </w:rPr>
        <w:t>附：</w:t>
      </w:r>
    </w:p>
    <w:p>
      <w:pPr>
        <w:tabs>
          <w:tab w:val="clear" w:pos="426"/>
        </w:tabs>
        <w:spacing w:line="480" w:lineRule="auto"/>
        <w:ind w:firstLine="424" w:firstLineChars="202"/>
        <w:rPr>
          <w:highlight w:val="none"/>
          <w:u w:val="none"/>
        </w:rPr>
      </w:pPr>
      <w:r>
        <w:rPr>
          <w:rFonts w:hint="eastAsia"/>
          <w:highlight w:val="none"/>
          <w:u w:val="none"/>
        </w:rPr>
        <w:t>营业执照（注册号）：_______________________________________________</w:t>
      </w:r>
    </w:p>
    <w:p>
      <w:pPr>
        <w:tabs>
          <w:tab w:val="clear" w:pos="426"/>
        </w:tabs>
        <w:spacing w:line="480" w:lineRule="auto"/>
        <w:ind w:firstLine="424" w:firstLineChars="202"/>
        <w:rPr>
          <w:highlight w:val="none"/>
          <w:u w:val="none"/>
        </w:rPr>
      </w:pPr>
      <w:r>
        <w:rPr>
          <w:rFonts w:hint="eastAsia"/>
          <w:highlight w:val="none"/>
          <w:u w:val="none"/>
        </w:rPr>
        <w:t>经济性质：_________________________________________________________</w:t>
      </w:r>
    </w:p>
    <w:p>
      <w:pPr>
        <w:tabs>
          <w:tab w:val="clear" w:pos="426"/>
        </w:tabs>
        <w:spacing w:line="480" w:lineRule="auto"/>
        <w:ind w:firstLine="424" w:firstLineChars="202"/>
        <w:rPr>
          <w:highlight w:val="none"/>
          <w:u w:val="none"/>
        </w:rPr>
      </w:pPr>
      <w:r>
        <w:rPr>
          <w:rFonts w:hint="eastAsia"/>
          <w:highlight w:val="none"/>
          <w:u w:val="none"/>
        </w:rPr>
        <w:t>主营（产）：_______________________________________________________</w:t>
      </w:r>
    </w:p>
    <w:p>
      <w:pPr>
        <w:tabs>
          <w:tab w:val="clear" w:pos="426"/>
        </w:tabs>
        <w:spacing w:line="480" w:lineRule="auto"/>
        <w:ind w:firstLine="424" w:firstLineChars="202"/>
        <w:rPr>
          <w:highlight w:val="none"/>
          <w:u w:val="none"/>
        </w:rPr>
      </w:pPr>
      <w:r>
        <w:rPr>
          <w:rFonts w:hint="eastAsia"/>
          <w:highlight w:val="none"/>
          <w:u w:val="none"/>
        </w:rPr>
        <w:t>兼营（产）：_______________________________________________________</w:t>
      </w:r>
    </w:p>
    <w:p>
      <w:pPr>
        <w:tabs>
          <w:tab w:val="clear" w:pos="426"/>
        </w:tabs>
        <w:ind w:firstLine="424" w:firstLineChars="202"/>
        <w:rPr>
          <w:highlight w:val="none"/>
          <w:u w:val="none"/>
        </w:rPr>
      </w:pPr>
    </w:p>
    <w:p>
      <w:pPr>
        <w:tabs>
          <w:tab w:val="clear" w:pos="426"/>
        </w:tabs>
        <w:ind w:firstLine="424" w:firstLineChars="202"/>
        <w:rPr>
          <w:szCs w:val="21"/>
          <w:highlight w:val="none"/>
          <w:u w:val="none"/>
        </w:rPr>
      </w:pPr>
      <w:r>
        <w:rPr>
          <w:rFonts w:hint="eastAsia"/>
          <w:szCs w:val="21"/>
          <w:highlight w:val="none"/>
          <w:u w:val="none"/>
        </w:rPr>
        <w:t>附：法定代表人身份证复印件：</w:t>
      </w:r>
    </w:p>
    <w:p>
      <w:pPr>
        <w:tabs>
          <w:tab w:val="clear" w:pos="426"/>
        </w:tabs>
        <w:ind w:firstLine="424" w:firstLineChars="202"/>
        <w:rPr>
          <w:szCs w:val="21"/>
          <w:highlight w:val="none"/>
          <w:u w:val="none"/>
        </w:rPr>
      </w:pPr>
    </w:p>
    <w:p>
      <w:pPr>
        <w:tabs>
          <w:tab w:val="clear" w:pos="426"/>
        </w:tabs>
        <w:ind w:firstLine="424" w:firstLineChars="202"/>
        <w:rPr>
          <w:szCs w:val="21"/>
          <w:highlight w:val="none"/>
          <w:u w:val="none"/>
        </w:rPr>
      </w:pPr>
    </w:p>
    <w:p>
      <w:pPr>
        <w:tabs>
          <w:tab w:val="clear" w:pos="426"/>
        </w:tabs>
        <w:ind w:firstLine="424" w:firstLineChars="202"/>
        <w:rPr>
          <w:szCs w:val="21"/>
          <w:highlight w:val="none"/>
          <w:u w:val="none"/>
        </w:rPr>
      </w:pPr>
    </w:p>
    <w:p>
      <w:pPr>
        <w:tabs>
          <w:tab w:val="clear" w:pos="426"/>
        </w:tabs>
        <w:spacing w:line="500" w:lineRule="exact"/>
        <w:ind w:left="3826" w:leftChars="1822"/>
        <w:rPr>
          <w:highlight w:val="none"/>
          <w:u w:val="none"/>
        </w:rPr>
      </w:pPr>
      <w:r>
        <w:rPr>
          <w:rFonts w:hint="eastAsia"/>
          <w:highlight w:val="none"/>
          <w:u w:val="none"/>
        </w:rPr>
        <w:t>谈判应答人名称（单位盖</w:t>
      </w:r>
      <w:r>
        <w:rPr>
          <w:rFonts w:hint="eastAsia"/>
          <w:spacing w:val="4"/>
          <w:highlight w:val="none"/>
          <w:u w:val="none"/>
        </w:rPr>
        <w:t>公章</w:t>
      </w:r>
      <w:r>
        <w:rPr>
          <w:rFonts w:hint="eastAsia"/>
          <w:highlight w:val="none"/>
          <w:u w:val="none"/>
        </w:rPr>
        <w:t>）：__________________</w:t>
      </w:r>
    </w:p>
    <w:p>
      <w:pPr>
        <w:tabs>
          <w:tab w:val="clear" w:pos="426"/>
        </w:tabs>
        <w:spacing w:line="500" w:lineRule="exact"/>
        <w:ind w:left="3826" w:leftChars="1822"/>
        <w:rPr>
          <w:highlight w:val="none"/>
          <w:u w:val="none"/>
        </w:rPr>
      </w:pPr>
      <w:r>
        <w:rPr>
          <w:rFonts w:hint="eastAsia"/>
          <w:highlight w:val="none"/>
          <w:u w:val="none"/>
        </w:rPr>
        <w:t>地址：___________________________________________</w:t>
      </w:r>
    </w:p>
    <w:p>
      <w:pPr>
        <w:tabs>
          <w:tab w:val="clear" w:pos="426"/>
        </w:tabs>
        <w:spacing w:line="500" w:lineRule="exact"/>
        <w:ind w:left="3826" w:leftChars="1822"/>
        <w:rPr>
          <w:highlight w:val="none"/>
          <w:u w:val="none"/>
        </w:rPr>
      </w:pPr>
      <w:r>
        <w:rPr>
          <w:rFonts w:hint="eastAsia"/>
          <w:highlight w:val="none"/>
          <w:u w:val="none"/>
        </w:rPr>
        <w:t>签发日期：_______________________________________</w:t>
      </w:r>
    </w:p>
    <w:p>
      <w:pPr>
        <w:tabs>
          <w:tab w:val="clear" w:pos="426"/>
        </w:tabs>
        <w:spacing w:line="500" w:lineRule="exact"/>
        <w:ind w:left="3826" w:leftChars="1822"/>
        <w:rPr>
          <w:b/>
          <w:bCs/>
          <w:highlight w:val="none"/>
          <w:u w:val="single"/>
        </w:rPr>
      </w:pPr>
    </w:p>
    <w:p>
      <w:pPr>
        <w:tabs>
          <w:tab w:val="clear" w:pos="426"/>
        </w:tabs>
        <w:adjustRightInd/>
        <w:snapToGrid/>
        <w:spacing w:before="280" w:after="290" w:line="377" w:lineRule="auto"/>
        <w:outlineLvl w:val="2"/>
        <w:rPr>
          <w:b/>
          <w:sz w:val="24"/>
          <w:highlight w:val="none"/>
        </w:rPr>
      </w:pPr>
      <w:r>
        <w:rPr>
          <w:highlight w:val="none"/>
        </w:rPr>
        <w:br w:type="page"/>
      </w:r>
      <w:r>
        <w:rPr>
          <w:rFonts w:hint="eastAsia"/>
          <w:highlight w:val="none"/>
        </w:rPr>
        <w:t>四、</w:t>
      </w:r>
      <w:r>
        <w:rPr>
          <w:rFonts w:hint="eastAsia"/>
          <w:b/>
          <w:sz w:val="24"/>
          <w:highlight w:val="none"/>
        </w:rPr>
        <w:t>谈判应答人基本情况表</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36" w:name="_Toc480755928"/>
      <w:bookmarkStart w:id="37" w:name="_Toc480754207"/>
      <w:bookmarkStart w:id="38" w:name="_Toc480756074"/>
      <w:bookmarkStart w:id="39" w:name="_Toc275865616"/>
      <w:bookmarkStart w:id="40" w:name="_Toc173553182"/>
      <w:bookmarkStart w:id="41" w:name="_Toc480789478"/>
      <w:r>
        <w:rPr>
          <w:rFonts w:hint="eastAsia" w:cs="Times New Roman"/>
          <w:bCs/>
          <w:kern w:val="2"/>
          <w:sz w:val="32"/>
          <w:szCs w:val="32"/>
          <w:highlight w:val="none"/>
        </w:rPr>
        <w:t>谈判应答人基本情况表</w:t>
      </w:r>
      <w:bookmarkEnd w:id="36"/>
      <w:bookmarkEnd w:id="37"/>
      <w:bookmarkEnd w:id="38"/>
      <w:bookmarkEnd w:id="39"/>
      <w:bookmarkEnd w:id="40"/>
      <w:bookmarkEnd w:id="41"/>
    </w:p>
    <w:p>
      <w:pPr>
        <w:widowControl w:val="0"/>
        <w:shd w:val="clear" w:color="auto" w:fill="auto"/>
        <w:tabs>
          <w:tab w:val="clear" w:pos="426"/>
        </w:tabs>
        <w:adjustRightInd/>
        <w:snapToGrid/>
        <w:rPr>
          <w:rFonts w:cs="Arial"/>
          <w:b/>
          <w:szCs w:val="21"/>
          <w:highlight w:val="none"/>
          <w:u w:val="none"/>
        </w:rPr>
      </w:pPr>
      <w:r>
        <w:rPr>
          <w:rFonts w:hint="eastAsia" w:cs="Arial"/>
          <w:b/>
          <w:szCs w:val="21"/>
          <w:highlight w:val="none"/>
          <w:u w:val="none"/>
        </w:rPr>
        <w:t>一、</w:t>
      </w:r>
      <w:r>
        <w:rPr>
          <w:rFonts w:cs="Arial"/>
          <w:b/>
          <w:szCs w:val="21"/>
          <w:highlight w:val="none"/>
          <w:u w:val="none"/>
        </w:rPr>
        <w:t>公司基本情况</w:t>
      </w:r>
    </w:p>
    <w:p>
      <w:pPr>
        <w:widowControl w:val="0"/>
        <w:numPr>
          <w:ilvl w:val="1"/>
          <w:numId w:val="27"/>
        </w:numPr>
        <w:shd w:val="clear" w:color="auto" w:fill="auto"/>
        <w:tabs>
          <w:tab w:val="clear" w:pos="426"/>
        </w:tabs>
        <w:adjustRightInd/>
        <w:snapToGrid/>
        <w:ind w:left="0" w:firstLine="426"/>
        <w:rPr>
          <w:rFonts w:cs="Arial"/>
          <w:szCs w:val="21"/>
          <w:highlight w:val="none"/>
          <w:u w:val="none"/>
        </w:rPr>
      </w:pPr>
      <w:r>
        <w:rPr>
          <w:rFonts w:cs="Arial"/>
          <w:szCs w:val="21"/>
          <w:highlight w:val="none"/>
          <w:u w:val="none"/>
        </w:rPr>
        <w:t>公司名称：______________________________  电话号码：____________________________</w:t>
      </w:r>
    </w:p>
    <w:p>
      <w:pPr>
        <w:widowControl w:val="0"/>
        <w:numPr>
          <w:ilvl w:val="1"/>
          <w:numId w:val="27"/>
        </w:numPr>
        <w:shd w:val="clear" w:color="auto" w:fill="auto"/>
        <w:tabs>
          <w:tab w:val="clear" w:pos="426"/>
        </w:tabs>
        <w:adjustRightInd/>
        <w:snapToGrid/>
        <w:ind w:left="0" w:firstLine="426"/>
        <w:rPr>
          <w:rFonts w:cs="Arial"/>
          <w:szCs w:val="21"/>
          <w:highlight w:val="none"/>
          <w:u w:val="none"/>
        </w:rPr>
      </w:pPr>
      <w:r>
        <w:rPr>
          <w:rFonts w:cs="Arial"/>
          <w:szCs w:val="21"/>
          <w:highlight w:val="none"/>
          <w:u w:val="none"/>
        </w:rPr>
        <w:t>地    址：______________________________  传    真：____________________________</w:t>
      </w:r>
    </w:p>
    <w:p>
      <w:pPr>
        <w:widowControl w:val="0"/>
        <w:numPr>
          <w:ilvl w:val="1"/>
          <w:numId w:val="27"/>
        </w:numPr>
        <w:shd w:val="clear" w:color="auto" w:fill="auto"/>
        <w:tabs>
          <w:tab w:val="clear" w:pos="426"/>
        </w:tabs>
        <w:adjustRightInd/>
        <w:snapToGrid/>
        <w:ind w:left="0" w:firstLine="426"/>
        <w:rPr>
          <w:rFonts w:cs="Arial"/>
          <w:szCs w:val="21"/>
          <w:highlight w:val="none"/>
          <w:u w:val="none"/>
        </w:rPr>
      </w:pPr>
      <w:r>
        <w:rPr>
          <w:rFonts w:cs="Arial"/>
          <w:szCs w:val="21"/>
          <w:highlight w:val="none"/>
          <w:u w:val="none"/>
        </w:rPr>
        <w:t>注册资金：______________________________  经济性质：______</w:t>
      </w:r>
      <w:r>
        <w:rPr>
          <w:rFonts w:hint="eastAsia" w:cs="Arial"/>
          <w:szCs w:val="21"/>
          <w:highlight w:val="none"/>
          <w:u w:val="none"/>
        </w:rPr>
        <w:t>___________________</w:t>
      </w:r>
      <w:r>
        <w:rPr>
          <w:rFonts w:cs="Arial"/>
          <w:szCs w:val="21"/>
          <w:highlight w:val="none"/>
          <w:u w:val="none"/>
        </w:rPr>
        <w:t>___</w:t>
      </w:r>
    </w:p>
    <w:p>
      <w:pPr>
        <w:widowControl w:val="0"/>
        <w:numPr>
          <w:ilvl w:val="1"/>
          <w:numId w:val="27"/>
        </w:numPr>
        <w:shd w:val="clear" w:color="auto" w:fill="auto"/>
        <w:tabs>
          <w:tab w:val="clear" w:pos="426"/>
        </w:tabs>
        <w:adjustRightInd/>
        <w:snapToGrid/>
        <w:ind w:left="0" w:firstLine="426"/>
        <w:rPr>
          <w:rFonts w:cs="Arial"/>
          <w:szCs w:val="21"/>
          <w:highlight w:val="none"/>
          <w:u w:val="none"/>
        </w:rPr>
      </w:pPr>
      <w:r>
        <w:rPr>
          <w:rFonts w:cs="Arial"/>
          <w:szCs w:val="21"/>
          <w:highlight w:val="none"/>
          <w:u w:val="none"/>
        </w:rPr>
        <w:t>公司开户银行名称及账号：</w:t>
      </w:r>
      <w:r>
        <w:rPr>
          <w:rFonts w:hint="eastAsia" w:cs="Arial"/>
          <w:szCs w:val="21"/>
          <w:highlight w:val="none"/>
          <w:u w:val="none"/>
        </w:rPr>
        <w:t>________________________________________________________</w:t>
      </w:r>
    </w:p>
    <w:p>
      <w:pPr>
        <w:widowControl w:val="0"/>
        <w:numPr>
          <w:ilvl w:val="1"/>
          <w:numId w:val="27"/>
        </w:numPr>
        <w:shd w:val="clear" w:color="auto" w:fill="auto"/>
        <w:tabs>
          <w:tab w:val="clear" w:pos="426"/>
        </w:tabs>
        <w:adjustRightInd/>
        <w:snapToGrid/>
        <w:ind w:left="0" w:firstLine="426"/>
        <w:rPr>
          <w:rFonts w:cs="Arial"/>
          <w:szCs w:val="21"/>
          <w:highlight w:val="none"/>
          <w:u w:val="none"/>
        </w:rPr>
      </w:pPr>
      <w:r>
        <w:rPr>
          <w:rFonts w:cs="Arial"/>
          <w:szCs w:val="21"/>
          <w:highlight w:val="none"/>
          <w:u w:val="none"/>
        </w:rPr>
        <w:t>营业注册执照号：</w:t>
      </w:r>
      <w:r>
        <w:rPr>
          <w:rFonts w:hint="eastAsia" w:cs="Arial"/>
          <w:szCs w:val="21"/>
          <w:highlight w:val="none"/>
          <w:u w:val="none"/>
        </w:rPr>
        <w:t>________________________________________________________________</w:t>
      </w:r>
    </w:p>
    <w:p>
      <w:pPr>
        <w:widowControl w:val="0"/>
        <w:numPr>
          <w:ilvl w:val="1"/>
          <w:numId w:val="27"/>
        </w:numPr>
        <w:shd w:val="clear" w:color="auto" w:fill="auto"/>
        <w:tabs>
          <w:tab w:val="clear" w:pos="426"/>
        </w:tabs>
        <w:adjustRightInd/>
        <w:snapToGrid/>
        <w:ind w:left="0" w:firstLine="426"/>
        <w:rPr>
          <w:rFonts w:cs="Arial"/>
          <w:szCs w:val="21"/>
          <w:highlight w:val="none"/>
          <w:u w:val="none"/>
        </w:rPr>
      </w:pPr>
      <w:r>
        <w:rPr>
          <w:rFonts w:cs="Arial"/>
          <w:szCs w:val="21"/>
          <w:highlight w:val="none"/>
          <w:u w:val="none"/>
        </w:rPr>
        <w:t>公司简介</w:t>
      </w:r>
    </w:p>
    <w:p>
      <w:pPr>
        <w:tabs>
          <w:tab w:val="clear" w:pos="426"/>
        </w:tabs>
        <w:ind w:firstLine="426"/>
        <w:rPr>
          <w:highlight w:val="none"/>
          <w:u w:val="none"/>
        </w:rPr>
      </w:pPr>
      <w:r>
        <w:rPr>
          <w:rFonts w:hint="eastAsia"/>
          <w:highlight w:val="none"/>
          <w:u w:val="none"/>
        </w:rPr>
        <w:t>文字描述：</w:t>
      </w:r>
      <w:r>
        <w:rPr>
          <w:rFonts w:hint="eastAsia"/>
          <w:bCs/>
          <w:szCs w:val="21"/>
          <w:highlight w:val="none"/>
          <w:u w:val="none"/>
          <w:lang w:val="en-GB"/>
        </w:rPr>
        <w:t>发展历程、经营规模及服务理念</w:t>
      </w:r>
      <w:r>
        <w:rPr>
          <w:rFonts w:hint="eastAsia"/>
          <w:highlight w:val="none"/>
          <w:u w:val="none"/>
        </w:rPr>
        <w:t>、技术力量、财务状况、</w:t>
      </w:r>
      <w:r>
        <w:rPr>
          <w:highlight w:val="none"/>
          <w:u w:val="none"/>
        </w:rPr>
        <w:t>管理水平</w:t>
      </w:r>
      <w:r>
        <w:rPr>
          <w:rFonts w:hint="eastAsia"/>
          <w:highlight w:val="none"/>
          <w:u w:val="none"/>
        </w:rPr>
        <w:t>等方面进行阐述；</w:t>
      </w:r>
    </w:p>
    <w:p>
      <w:pPr>
        <w:tabs>
          <w:tab w:val="clear" w:pos="426"/>
        </w:tabs>
        <w:ind w:firstLine="426"/>
        <w:rPr>
          <w:rFonts w:cs="Arial"/>
          <w:szCs w:val="21"/>
          <w:highlight w:val="none"/>
          <w:u w:val="none"/>
        </w:rPr>
      </w:pPr>
      <w:r>
        <w:rPr>
          <w:rFonts w:hint="eastAsia"/>
          <w:highlight w:val="none"/>
          <w:u w:val="none"/>
        </w:rPr>
        <w:t>图片描述：</w:t>
      </w:r>
      <w:r>
        <w:rPr>
          <w:rFonts w:hint="eastAsia"/>
          <w:bCs/>
          <w:szCs w:val="21"/>
          <w:highlight w:val="none"/>
          <w:u w:val="none"/>
          <w:lang w:val="en-GB"/>
        </w:rPr>
        <w:t>经营场所、主要或关键产品介绍、生产场所及服务流程等。</w:t>
      </w:r>
    </w:p>
    <w:p>
      <w:pPr>
        <w:widowControl w:val="0"/>
        <w:shd w:val="clear" w:color="auto" w:fill="auto"/>
        <w:tabs>
          <w:tab w:val="clear" w:pos="426"/>
        </w:tabs>
        <w:adjustRightInd/>
        <w:snapToGrid/>
        <w:rPr>
          <w:rFonts w:cs="Arial"/>
          <w:b/>
          <w:szCs w:val="21"/>
          <w:highlight w:val="none"/>
          <w:u w:val="none"/>
        </w:rPr>
      </w:pPr>
      <w:r>
        <w:rPr>
          <w:rFonts w:hint="eastAsia" w:cs="Arial"/>
          <w:b/>
          <w:szCs w:val="21"/>
          <w:highlight w:val="none"/>
          <w:u w:val="none"/>
        </w:rPr>
        <w:t>二、供应商资格证明文件</w:t>
      </w:r>
    </w:p>
    <w:p>
      <w:pPr>
        <w:tabs>
          <w:tab w:val="clear" w:pos="426"/>
        </w:tabs>
        <w:spacing w:beforeLines="50"/>
        <w:ind w:firstLine="424" w:firstLineChars="201"/>
        <w:rPr>
          <w:b/>
          <w:color w:val="FF0000"/>
          <w:highlight w:val="none"/>
          <w:u w:val="none"/>
        </w:rPr>
      </w:pPr>
      <w:r>
        <w:rPr>
          <w:rFonts w:hint="eastAsia"/>
          <w:b/>
          <w:color w:val="FF0000"/>
          <w:highlight w:val="none"/>
          <w:u w:val="none"/>
        </w:rPr>
        <w:t>谈判应答人须按本谈判文件第一章采购公告第二条“谈判应答人资质要求”提供相关的资质证明，且已接受报名的单位，不代表资格审查通过。谈判应答文件中未提供或提供不完整、不符合要求的，谈判应答文件将按谈判应答无效的情形处理。</w:t>
      </w:r>
    </w:p>
    <w:p>
      <w:pPr>
        <w:widowControl w:val="0"/>
        <w:shd w:val="clear" w:color="auto" w:fill="auto"/>
        <w:tabs>
          <w:tab w:val="clear" w:pos="426"/>
        </w:tabs>
        <w:adjustRightInd/>
        <w:snapToGrid/>
        <w:rPr>
          <w:rFonts w:cs="Arial"/>
          <w:b/>
          <w:szCs w:val="21"/>
          <w:highlight w:val="none"/>
          <w:u w:val="none"/>
        </w:rPr>
      </w:pPr>
      <w:r>
        <w:rPr>
          <w:rFonts w:hint="eastAsia" w:cs="Arial"/>
          <w:b/>
          <w:szCs w:val="21"/>
          <w:highlight w:val="none"/>
          <w:u w:val="none"/>
        </w:rPr>
        <w:t>三、</w:t>
      </w:r>
      <w:r>
        <w:rPr>
          <w:rFonts w:cs="Arial"/>
          <w:b/>
          <w:szCs w:val="21"/>
          <w:highlight w:val="none"/>
          <w:u w:val="none"/>
        </w:rPr>
        <w:t>如联合体谈判应答，谈判应答人还必须提供《联合体谈判应答协议》（格式自定）。</w:t>
      </w:r>
    </w:p>
    <w:p>
      <w:pPr>
        <w:tabs>
          <w:tab w:val="clear" w:pos="426"/>
        </w:tabs>
        <w:spacing w:line="500" w:lineRule="exact"/>
        <w:ind w:left="424" w:leftChars="202"/>
        <w:rPr>
          <w:spacing w:val="4"/>
          <w:highlight w:val="none"/>
          <w:u w:val="none"/>
        </w:rPr>
      </w:pPr>
    </w:p>
    <w:p>
      <w:pPr>
        <w:tabs>
          <w:tab w:val="clear" w:pos="426"/>
        </w:tabs>
        <w:spacing w:line="500" w:lineRule="exact"/>
        <w:ind w:left="424" w:leftChars="202"/>
        <w:rPr>
          <w:spacing w:val="4"/>
          <w:highlight w:val="none"/>
          <w:u w:val="none"/>
        </w:rPr>
      </w:pPr>
    </w:p>
    <w:p>
      <w:pPr>
        <w:tabs>
          <w:tab w:val="clear" w:pos="426"/>
        </w:tabs>
        <w:spacing w:line="500" w:lineRule="exact"/>
        <w:ind w:left="424" w:leftChars="202"/>
        <w:rPr>
          <w:spacing w:val="4"/>
          <w:highlight w:val="none"/>
          <w:u w:val="none"/>
        </w:rPr>
      </w:pPr>
    </w:p>
    <w:p>
      <w:pPr>
        <w:tabs>
          <w:tab w:val="clear" w:pos="426"/>
        </w:tabs>
        <w:spacing w:line="500" w:lineRule="exact"/>
        <w:ind w:left="424" w:leftChars="202"/>
        <w:rPr>
          <w:highlight w:val="none"/>
          <w:u w:val="none"/>
        </w:rPr>
      </w:pPr>
      <w:r>
        <w:rPr>
          <w:rFonts w:hint="eastAsia"/>
          <w:spacing w:val="4"/>
          <w:highlight w:val="none"/>
          <w:u w:val="none"/>
        </w:rPr>
        <w:t>谈判应答人名称（</w:t>
      </w:r>
      <w:r>
        <w:rPr>
          <w:rFonts w:hint="eastAsia"/>
          <w:highlight w:val="none"/>
          <w:u w:val="none"/>
        </w:rPr>
        <w:t>单位盖</w:t>
      </w:r>
      <w:r>
        <w:rPr>
          <w:rFonts w:hint="eastAsia"/>
          <w:spacing w:val="4"/>
          <w:highlight w:val="none"/>
          <w:u w:val="none"/>
        </w:rPr>
        <w:t>公章）：______________________________</w:t>
      </w:r>
    </w:p>
    <w:p>
      <w:pPr>
        <w:tabs>
          <w:tab w:val="clear" w:pos="426"/>
        </w:tabs>
        <w:spacing w:line="520" w:lineRule="exact"/>
        <w:ind w:left="424" w:leftChars="202"/>
        <w:rPr>
          <w:spacing w:val="4"/>
          <w:highlight w:val="none"/>
          <w:u w:val="none"/>
        </w:rPr>
      </w:pPr>
      <w:r>
        <w:rPr>
          <w:rFonts w:hint="eastAsia"/>
          <w:highlight w:val="none"/>
          <w:u w:val="none"/>
        </w:rPr>
        <w:t>法定代表人或谈判应答人授权代表（签名或盖章）：</w:t>
      </w:r>
      <w:r>
        <w:rPr>
          <w:spacing w:val="4"/>
          <w:highlight w:val="none"/>
          <w:u w:val="none"/>
        </w:rPr>
        <w:t>________</w:t>
      </w:r>
      <w:r>
        <w:rPr>
          <w:rFonts w:hint="eastAsia"/>
          <w:spacing w:val="4"/>
          <w:highlight w:val="none"/>
          <w:u w:val="none"/>
        </w:rPr>
        <w:t>_</w:t>
      </w:r>
      <w:r>
        <w:rPr>
          <w:spacing w:val="4"/>
          <w:highlight w:val="none"/>
          <w:u w:val="none"/>
        </w:rPr>
        <w:t>_</w:t>
      </w:r>
      <w:r>
        <w:rPr>
          <w:rFonts w:hint="eastAsia"/>
          <w:spacing w:val="4"/>
          <w:highlight w:val="none"/>
          <w:u w:val="none"/>
        </w:rPr>
        <w:t>_</w:t>
      </w:r>
      <w:r>
        <w:rPr>
          <w:spacing w:val="4"/>
          <w:highlight w:val="none"/>
          <w:u w:val="none"/>
        </w:rPr>
        <w:t>_</w:t>
      </w:r>
      <w:r>
        <w:rPr>
          <w:rFonts w:hint="eastAsia"/>
          <w:spacing w:val="4"/>
          <w:highlight w:val="none"/>
          <w:u w:val="none"/>
        </w:rPr>
        <w:t>_</w:t>
      </w:r>
      <w:r>
        <w:rPr>
          <w:spacing w:val="4"/>
          <w:highlight w:val="none"/>
          <w:u w:val="none"/>
        </w:rPr>
        <w:t>___</w:t>
      </w:r>
    </w:p>
    <w:p>
      <w:pPr>
        <w:tabs>
          <w:tab w:val="clear" w:pos="426"/>
        </w:tabs>
        <w:spacing w:line="520" w:lineRule="exact"/>
        <w:ind w:left="424" w:leftChars="202"/>
        <w:rPr>
          <w:spacing w:val="4"/>
          <w:highlight w:val="none"/>
          <w:u w:val="none"/>
        </w:rPr>
      </w:pPr>
      <w:r>
        <w:rPr>
          <w:rFonts w:hint="eastAsia"/>
          <w:spacing w:val="4"/>
          <w:highlight w:val="none"/>
          <w:u w:val="none"/>
        </w:rPr>
        <w:t>职务：</w:t>
      </w:r>
      <w:r>
        <w:rPr>
          <w:spacing w:val="4"/>
          <w:highlight w:val="none"/>
          <w:u w:val="none"/>
        </w:rPr>
        <w:t>____</w:t>
      </w:r>
      <w:r>
        <w:rPr>
          <w:rFonts w:hint="eastAsia"/>
          <w:spacing w:val="4"/>
          <w:highlight w:val="none"/>
          <w:u w:val="none"/>
        </w:rPr>
        <w:t>_________________________________________</w:t>
      </w:r>
      <w:r>
        <w:rPr>
          <w:spacing w:val="4"/>
          <w:highlight w:val="none"/>
          <w:u w:val="none"/>
        </w:rPr>
        <w:t>____</w:t>
      </w:r>
    </w:p>
    <w:p>
      <w:pPr>
        <w:tabs>
          <w:tab w:val="clear" w:pos="426"/>
        </w:tabs>
        <w:spacing w:line="520" w:lineRule="exact"/>
        <w:ind w:left="424" w:leftChars="202"/>
        <w:rPr>
          <w:rFonts w:ascii="黑体" w:eastAsia="黑体"/>
          <w:b/>
          <w:bCs/>
          <w:sz w:val="28"/>
          <w:highlight w:val="none"/>
          <w:u w:val="none"/>
        </w:rPr>
      </w:pPr>
      <w:r>
        <w:rPr>
          <w:rFonts w:hint="eastAsia"/>
          <w:spacing w:val="4"/>
          <w:highlight w:val="none"/>
          <w:u w:val="none"/>
        </w:rPr>
        <w:t>日期</w:t>
      </w:r>
      <w:r>
        <w:rPr>
          <w:spacing w:val="4"/>
          <w:highlight w:val="none"/>
          <w:u w:val="none"/>
        </w:rPr>
        <w:t>_____</w:t>
      </w:r>
      <w:r>
        <w:rPr>
          <w:rFonts w:hint="eastAsia"/>
          <w:spacing w:val="4"/>
          <w:highlight w:val="none"/>
          <w:u w:val="none"/>
        </w:rPr>
        <w:t>__________________________________________</w:t>
      </w:r>
      <w:r>
        <w:rPr>
          <w:spacing w:val="4"/>
          <w:highlight w:val="none"/>
          <w:u w:val="none"/>
        </w:rPr>
        <w:t>____</w:t>
      </w:r>
    </w:p>
    <w:p>
      <w:pPr>
        <w:tabs>
          <w:tab w:val="clear" w:pos="426"/>
        </w:tabs>
        <w:spacing w:line="520" w:lineRule="exact"/>
        <w:ind w:left="424" w:leftChars="202"/>
        <w:rPr>
          <w:rFonts w:ascii="黑体" w:eastAsia="黑体"/>
          <w:b/>
          <w:bCs/>
          <w:sz w:val="28"/>
          <w:highlight w:val="none"/>
        </w:rPr>
      </w:pPr>
    </w:p>
    <w:p>
      <w:pPr>
        <w:tabs>
          <w:tab w:val="clear" w:pos="426"/>
        </w:tabs>
        <w:spacing w:line="520" w:lineRule="exact"/>
        <w:ind w:left="424" w:leftChars="202"/>
        <w:rPr>
          <w:rFonts w:ascii="黑体" w:eastAsia="黑体"/>
          <w:b/>
          <w:bCs/>
          <w:sz w:val="28"/>
          <w:highlight w:val="none"/>
        </w:rPr>
      </w:pPr>
    </w:p>
    <w:p>
      <w:pPr>
        <w:tabs>
          <w:tab w:val="clear" w:pos="426"/>
        </w:tabs>
        <w:adjustRightInd/>
        <w:snapToGrid/>
        <w:spacing w:before="280" w:after="290" w:line="377" w:lineRule="auto"/>
        <w:outlineLvl w:val="2"/>
        <w:rPr>
          <w:b/>
          <w:sz w:val="24"/>
          <w:highlight w:val="none"/>
        </w:rPr>
      </w:pPr>
      <w:r>
        <w:rPr>
          <w:highlight w:val="none"/>
        </w:rPr>
        <w:br w:type="page"/>
      </w:r>
      <w:r>
        <w:rPr>
          <w:rFonts w:hint="eastAsia"/>
          <w:b/>
          <w:sz w:val="24"/>
          <w:highlight w:val="none"/>
        </w:rPr>
        <w:t>五、谈判初始报价一览表(报价表)</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42" w:name="_Toc480789479"/>
      <w:bookmarkStart w:id="43" w:name="_Toc480754208"/>
      <w:bookmarkStart w:id="44" w:name="_Toc480756075"/>
      <w:bookmarkStart w:id="45" w:name="_Toc480755929"/>
      <w:r>
        <w:rPr>
          <w:rFonts w:hint="eastAsia" w:cs="Times New Roman"/>
          <w:bCs/>
          <w:kern w:val="2"/>
          <w:sz w:val="32"/>
          <w:szCs w:val="32"/>
          <w:highlight w:val="none"/>
        </w:rPr>
        <w:t>谈判初始报价一览表(报价表)</w:t>
      </w:r>
      <w:bookmarkEnd w:id="42"/>
      <w:bookmarkEnd w:id="43"/>
      <w:bookmarkEnd w:id="44"/>
      <w:bookmarkEnd w:id="45"/>
    </w:p>
    <w:p>
      <w:pPr>
        <w:tabs>
          <w:tab w:val="clear" w:pos="426"/>
        </w:tabs>
        <w:jc w:val="left"/>
        <w:rPr>
          <w:highlight w:val="none"/>
        </w:rPr>
      </w:pPr>
    </w:p>
    <w:p>
      <w:pPr>
        <w:tabs>
          <w:tab w:val="clear" w:pos="426"/>
        </w:tabs>
        <w:jc w:val="left"/>
        <w:rPr>
          <w:sz w:val="24"/>
          <w:highlight w:val="none"/>
          <w:u w:val="single"/>
        </w:rPr>
      </w:pPr>
      <w:r>
        <w:rPr>
          <w:rFonts w:hint="eastAsia"/>
          <w:highlight w:val="none"/>
        </w:rPr>
        <w:t>项目名称：</w:t>
      </w:r>
      <w:r>
        <w:rPr>
          <w:rFonts w:hint="eastAsia" w:ascii="Times New Roman" w:hAnsi="Times New Roman" w:cs="Times New Roman"/>
          <w:kern w:val="2"/>
          <w:szCs w:val="20"/>
          <w:highlight w:val="none"/>
          <w:u w:val="single"/>
        </w:rPr>
        <w:t>车辆租赁服务项目</w:t>
      </w:r>
      <w:r>
        <w:rPr>
          <w:rFonts w:ascii="Times New Roman" w:hAnsi="Times New Roman" w:cs="Times New Roman"/>
          <w:kern w:val="2"/>
          <w:szCs w:val="20"/>
          <w:highlight w:val="none"/>
        </w:rPr>
        <w:t xml:space="preserve">           </w:t>
      </w:r>
      <w:r>
        <w:rPr>
          <w:rFonts w:hint="eastAsia"/>
          <w:highlight w:val="none"/>
        </w:rPr>
        <w:t>采购项目编号：</w:t>
      </w:r>
      <w:r>
        <w:rPr>
          <w:rFonts w:hint="eastAsia"/>
          <w:szCs w:val="21"/>
          <w:highlight w:val="none"/>
          <w:u w:val="single"/>
        </w:rPr>
        <w:t xml:space="preserve">              </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2615"/>
        <w:gridCol w:w="2593"/>
        <w:gridCol w:w="1755"/>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49" w:type="pct"/>
            <w:shd w:val="clear" w:color="auto" w:fill="auto"/>
            <w:vAlign w:val="center"/>
          </w:tcPr>
          <w:p>
            <w:pPr>
              <w:tabs>
                <w:tab w:val="clear" w:pos="426"/>
              </w:tabs>
              <w:spacing w:line="240" w:lineRule="auto"/>
              <w:jc w:val="center"/>
              <w:rPr>
                <w:b/>
                <w:szCs w:val="21"/>
                <w:highlight w:val="none"/>
              </w:rPr>
            </w:pPr>
            <w:r>
              <w:rPr>
                <w:rFonts w:hint="eastAsia"/>
                <w:b/>
                <w:szCs w:val="21"/>
                <w:highlight w:val="none"/>
              </w:rPr>
              <w:t>序号</w:t>
            </w:r>
          </w:p>
        </w:tc>
        <w:tc>
          <w:tcPr>
            <w:tcW w:w="1366" w:type="pct"/>
            <w:shd w:val="clear" w:color="auto" w:fill="auto"/>
            <w:vAlign w:val="center"/>
          </w:tcPr>
          <w:p>
            <w:pPr>
              <w:tabs>
                <w:tab w:val="clear" w:pos="426"/>
              </w:tabs>
              <w:spacing w:line="240" w:lineRule="auto"/>
              <w:jc w:val="center"/>
              <w:rPr>
                <w:b/>
                <w:szCs w:val="21"/>
                <w:highlight w:val="none"/>
              </w:rPr>
            </w:pPr>
            <w:r>
              <w:rPr>
                <w:rFonts w:hint="eastAsia"/>
                <w:b/>
                <w:szCs w:val="21"/>
                <w:highlight w:val="none"/>
              </w:rPr>
              <w:t>项目名称</w:t>
            </w:r>
          </w:p>
        </w:tc>
        <w:tc>
          <w:tcPr>
            <w:tcW w:w="1355" w:type="pct"/>
            <w:shd w:val="clear" w:color="auto" w:fill="auto"/>
            <w:vAlign w:val="center"/>
          </w:tcPr>
          <w:p>
            <w:pPr>
              <w:tabs>
                <w:tab w:val="clear" w:pos="426"/>
              </w:tabs>
              <w:spacing w:line="240" w:lineRule="auto"/>
              <w:jc w:val="center"/>
              <w:rPr>
                <w:b/>
                <w:szCs w:val="21"/>
                <w:highlight w:val="none"/>
              </w:rPr>
            </w:pPr>
            <w:r>
              <w:rPr>
                <w:rFonts w:hint="eastAsia"/>
                <w:b/>
                <w:szCs w:val="21"/>
                <w:highlight w:val="none"/>
              </w:rPr>
              <w:t>谈判应答总价</w:t>
            </w:r>
          </w:p>
        </w:tc>
        <w:tc>
          <w:tcPr>
            <w:tcW w:w="917" w:type="pct"/>
            <w:shd w:val="clear" w:color="auto" w:fill="auto"/>
            <w:vAlign w:val="center"/>
          </w:tcPr>
          <w:p>
            <w:pPr>
              <w:tabs>
                <w:tab w:val="clear" w:pos="426"/>
              </w:tabs>
              <w:spacing w:line="240" w:lineRule="auto"/>
              <w:jc w:val="center"/>
              <w:rPr>
                <w:b/>
                <w:szCs w:val="21"/>
                <w:highlight w:val="none"/>
              </w:rPr>
            </w:pPr>
            <w:r>
              <w:rPr>
                <w:rFonts w:hint="eastAsia"/>
                <w:b/>
                <w:szCs w:val="21"/>
                <w:highlight w:val="none"/>
              </w:rPr>
              <w:t>服务期</w:t>
            </w:r>
          </w:p>
        </w:tc>
        <w:tc>
          <w:tcPr>
            <w:tcW w:w="713" w:type="pct"/>
            <w:shd w:val="clear" w:color="auto" w:fill="auto"/>
            <w:vAlign w:val="center"/>
          </w:tcPr>
          <w:p>
            <w:pPr>
              <w:tabs>
                <w:tab w:val="clear" w:pos="426"/>
              </w:tabs>
              <w:spacing w:line="240" w:lineRule="auto"/>
              <w:jc w:val="center"/>
              <w:rPr>
                <w:b/>
                <w:szCs w:val="21"/>
                <w:highlight w:val="none"/>
              </w:rPr>
            </w:pPr>
            <w:r>
              <w:rPr>
                <w:rFonts w:hint="eastAsia"/>
                <w:b/>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649" w:type="pct"/>
            <w:shd w:val="clear" w:color="auto" w:fill="auto"/>
            <w:vAlign w:val="center"/>
          </w:tcPr>
          <w:p>
            <w:pPr>
              <w:tabs>
                <w:tab w:val="clear" w:pos="426"/>
              </w:tabs>
              <w:jc w:val="center"/>
              <w:rPr>
                <w:bCs/>
                <w:szCs w:val="21"/>
                <w:highlight w:val="none"/>
              </w:rPr>
            </w:pPr>
          </w:p>
        </w:tc>
        <w:tc>
          <w:tcPr>
            <w:tcW w:w="1366" w:type="pct"/>
            <w:shd w:val="clear" w:color="auto" w:fill="auto"/>
            <w:vAlign w:val="center"/>
          </w:tcPr>
          <w:p>
            <w:pPr>
              <w:tabs>
                <w:tab w:val="clear" w:pos="426"/>
              </w:tabs>
              <w:jc w:val="center"/>
              <w:rPr>
                <w:szCs w:val="21"/>
                <w:highlight w:val="none"/>
              </w:rPr>
            </w:pPr>
          </w:p>
        </w:tc>
        <w:tc>
          <w:tcPr>
            <w:tcW w:w="1355" w:type="pct"/>
            <w:shd w:val="clear" w:color="auto" w:fill="auto"/>
            <w:vAlign w:val="center"/>
          </w:tcPr>
          <w:p>
            <w:pPr>
              <w:tabs>
                <w:tab w:val="clear" w:pos="426"/>
              </w:tabs>
              <w:jc w:val="center"/>
              <w:rPr>
                <w:b/>
                <w:szCs w:val="21"/>
                <w:highlight w:val="none"/>
              </w:rPr>
            </w:pPr>
          </w:p>
        </w:tc>
        <w:tc>
          <w:tcPr>
            <w:tcW w:w="917" w:type="pct"/>
            <w:shd w:val="clear" w:color="auto" w:fill="auto"/>
            <w:vAlign w:val="center"/>
          </w:tcPr>
          <w:p>
            <w:pPr>
              <w:tabs>
                <w:tab w:val="clear" w:pos="426"/>
              </w:tabs>
              <w:jc w:val="center"/>
              <w:rPr>
                <w:b/>
                <w:szCs w:val="21"/>
                <w:highlight w:val="none"/>
              </w:rPr>
            </w:pPr>
          </w:p>
        </w:tc>
        <w:tc>
          <w:tcPr>
            <w:tcW w:w="713" w:type="pct"/>
            <w:shd w:val="clear" w:color="auto" w:fill="auto"/>
            <w:vAlign w:val="center"/>
          </w:tcPr>
          <w:p>
            <w:pPr>
              <w:tabs>
                <w:tab w:val="clear" w:pos="426"/>
              </w:tabs>
              <w:jc w:val="center"/>
              <w:rPr>
                <w:b/>
                <w:szCs w:val="21"/>
                <w:highlight w:val="none"/>
              </w:rPr>
            </w:pPr>
          </w:p>
        </w:tc>
      </w:tr>
    </w:tbl>
    <w:p>
      <w:pPr>
        <w:tabs>
          <w:tab w:val="clear" w:pos="426"/>
        </w:tabs>
        <w:spacing w:line="500" w:lineRule="exact"/>
        <w:rPr>
          <w:spacing w:val="4"/>
          <w:highlight w:val="none"/>
        </w:rPr>
      </w:pPr>
    </w:p>
    <w:p>
      <w:pPr>
        <w:tabs>
          <w:tab w:val="clear" w:pos="426"/>
        </w:tabs>
        <w:spacing w:line="500" w:lineRule="exact"/>
        <w:rPr>
          <w:highlight w:val="none"/>
          <w:u w:val="none"/>
        </w:rPr>
      </w:pPr>
      <w:r>
        <w:rPr>
          <w:rFonts w:hint="eastAsia"/>
          <w:spacing w:val="4"/>
          <w:highlight w:val="none"/>
        </w:rPr>
        <w:t>谈判应答人名称（</w:t>
      </w:r>
      <w:r>
        <w:rPr>
          <w:rFonts w:hint="eastAsia"/>
          <w:highlight w:val="none"/>
        </w:rPr>
        <w:t>单位盖</w:t>
      </w:r>
      <w:r>
        <w:rPr>
          <w:rFonts w:hint="eastAsia"/>
          <w:spacing w:val="4"/>
          <w:highlight w:val="none"/>
        </w:rPr>
        <w:t>公章）：</w:t>
      </w:r>
      <w:r>
        <w:rPr>
          <w:rFonts w:hint="eastAsia"/>
          <w:spacing w:val="4"/>
          <w:highlight w:val="none"/>
          <w:u w:val="none"/>
        </w:rPr>
        <w:t>__________________________________________________________</w:t>
      </w:r>
    </w:p>
    <w:p>
      <w:pPr>
        <w:tabs>
          <w:tab w:val="clear" w:pos="426"/>
        </w:tabs>
        <w:spacing w:line="520" w:lineRule="exact"/>
        <w:rPr>
          <w:highlight w:val="none"/>
          <w:u w:val="none"/>
        </w:rPr>
      </w:pPr>
    </w:p>
    <w:p>
      <w:pPr>
        <w:tabs>
          <w:tab w:val="clear" w:pos="426"/>
        </w:tabs>
        <w:spacing w:line="520" w:lineRule="exact"/>
        <w:rPr>
          <w:spacing w:val="4"/>
          <w:highlight w:val="none"/>
          <w:u w:val="none"/>
        </w:rPr>
      </w:pPr>
      <w:r>
        <w:rPr>
          <w:rFonts w:hint="eastAsia"/>
          <w:highlight w:val="none"/>
          <w:u w:val="none"/>
        </w:rPr>
        <w:t>法定代表人或谈判应答人授权代表（签名或盖章）：</w:t>
      </w:r>
      <w:r>
        <w:rPr>
          <w:spacing w:val="4"/>
          <w:highlight w:val="none"/>
          <w:u w:val="none"/>
        </w:rPr>
        <w:t>_____________</w:t>
      </w:r>
      <w:r>
        <w:rPr>
          <w:rFonts w:hint="eastAsia"/>
          <w:spacing w:val="4"/>
          <w:highlight w:val="none"/>
          <w:u w:val="none"/>
        </w:rPr>
        <w:t>职务：</w:t>
      </w:r>
      <w:r>
        <w:rPr>
          <w:spacing w:val="4"/>
          <w:highlight w:val="none"/>
          <w:u w:val="none"/>
        </w:rPr>
        <w:t>________</w:t>
      </w:r>
      <w:r>
        <w:rPr>
          <w:rFonts w:hint="eastAsia"/>
          <w:spacing w:val="4"/>
          <w:highlight w:val="none"/>
          <w:u w:val="none"/>
        </w:rPr>
        <w:t>日期</w:t>
      </w:r>
      <w:r>
        <w:rPr>
          <w:spacing w:val="4"/>
          <w:highlight w:val="none"/>
          <w:u w:val="none"/>
        </w:rPr>
        <w:t>_________</w:t>
      </w:r>
    </w:p>
    <w:p>
      <w:pPr>
        <w:tabs>
          <w:tab w:val="clear" w:pos="426"/>
        </w:tabs>
        <w:spacing w:line="400" w:lineRule="exact"/>
        <w:rPr>
          <w:b/>
          <w:bCs/>
          <w:szCs w:val="21"/>
          <w:highlight w:val="none"/>
        </w:rPr>
      </w:pPr>
      <w:r>
        <w:rPr>
          <w:rFonts w:hint="eastAsia"/>
          <w:b/>
          <w:bCs/>
          <w:szCs w:val="21"/>
          <w:highlight w:val="none"/>
        </w:rPr>
        <w:t>备注：</w:t>
      </w:r>
    </w:p>
    <w:p>
      <w:pPr>
        <w:widowControl w:val="0"/>
        <w:numPr>
          <w:ilvl w:val="1"/>
          <w:numId w:val="28"/>
        </w:numPr>
        <w:shd w:val="clear" w:color="auto" w:fill="auto"/>
        <w:tabs>
          <w:tab w:val="clear" w:pos="426"/>
        </w:tabs>
        <w:adjustRightInd/>
        <w:ind w:left="0" w:firstLine="424" w:firstLineChars="201"/>
        <w:rPr>
          <w:b/>
          <w:bCs/>
          <w:szCs w:val="21"/>
          <w:highlight w:val="none"/>
        </w:rPr>
      </w:pPr>
      <w:r>
        <w:rPr>
          <w:b/>
          <w:highlight w:val="none"/>
        </w:rPr>
        <w:t>此表</w:t>
      </w:r>
      <w:r>
        <w:rPr>
          <w:rFonts w:hint="eastAsia"/>
          <w:b/>
          <w:highlight w:val="none"/>
        </w:rPr>
        <w:t>为谈判应答文件的组成部分，</w:t>
      </w:r>
      <w:r>
        <w:rPr>
          <w:b/>
          <w:highlight w:val="none"/>
        </w:rPr>
        <w:t>须附在正、副本的谈判应答文件中，并另封装一份于谈判初始报价信封中</w:t>
      </w:r>
      <w:r>
        <w:rPr>
          <w:rFonts w:hint="eastAsia"/>
          <w:b/>
          <w:highlight w:val="none"/>
        </w:rPr>
        <w:t>（信封中须同时提供法定代表人证明书、法定代表人授权委托书、被授权人身份证复印件）。</w:t>
      </w:r>
    </w:p>
    <w:p>
      <w:pPr>
        <w:widowControl w:val="0"/>
        <w:numPr>
          <w:ilvl w:val="1"/>
          <w:numId w:val="28"/>
        </w:numPr>
        <w:shd w:val="clear" w:color="auto" w:fill="auto"/>
        <w:tabs>
          <w:tab w:val="clear" w:pos="426"/>
        </w:tabs>
        <w:adjustRightInd/>
        <w:ind w:left="0" w:firstLine="424" w:firstLineChars="201"/>
        <w:rPr>
          <w:b/>
          <w:bCs/>
          <w:szCs w:val="21"/>
          <w:highlight w:val="none"/>
        </w:rPr>
      </w:pPr>
      <w:r>
        <w:rPr>
          <w:rFonts w:hint="eastAsia"/>
          <w:b/>
          <w:highlight w:val="none"/>
        </w:rPr>
        <w:t>此表内谈判应答报价为最终价，谈判初始报价信封及谈判应答文件内不得含有任何对本报价进行修改的其他说明或资料，否则为无效谈判应答</w:t>
      </w:r>
      <w:r>
        <w:rPr>
          <w:rFonts w:hint="eastAsia"/>
          <w:b/>
          <w:bCs/>
          <w:szCs w:val="21"/>
          <w:highlight w:val="none"/>
        </w:rPr>
        <w:t>。</w:t>
      </w:r>
    </w:p>
    <w:p>
      <w:pPr>
        <w:widowControl w:val="0"/>
        <w:shd w:val="clear" w:color="auto" w:fill="auto"/>
        <w:tabs>
          <w:tab w:val="clear" w:pos="426"/>
        </w:tabs>
        <w:adjustRightInd/>
        <w:rPr>
          <w:b/>
          <w:bCs/>
          <w:szCs w:val="21"/>
          <w:highlight w:val="none"/>
        </w:rPr>
      </w:pPr>
    </w:p>
    <w:p>
      <w:pPr>
        <w:shd w:val="clear" w:color="auto" w:fill="auto"/>
        <w:tabs>
          <w:tab w:val="clear" w:pos="426"/>
        </w:tabs>
        <w:adjustRightInd/>
        <w:snapToGrid/>
        <w:spacing w:line="240" w:lineRule="auto"/>
        <w:jc w:val="left"/>
        <w:rPr>
          <w:rFonts w:cs="Times New Roman"/>
          <w:bCs/>
          <w:kern w:val="2"/>
          <w:sz w:val="32"/>
          <w:szCs w:val="32"/>
          <w:highlight w:val="none"/>
        </w:rPr>
      </w:pPr>
      <w:r>
        <w:rPr>
          <w:rFonts w:cs="Times New Roman"/>
          <w:bCs/>
          <w:kern w:val="2"/>
          <w:sz w:val="32"/>
          <w:szCs w:val="32"/>
          <w:highlight w:val="none"/>
        </w:rPr>
        <w:br w:type="page"/>
      </w:r>
    </w:p>
    <w:p>
      <w:pPr>
        <w:tabs>
          <w:tab w:val="clear" w:pos="426"/>
        </w:tabs>
        <w:adjustRightInd/>
        <w:snapToGrid/>
        <w:spacing w:before="280" w:after="290" w:line="377" w:lineRule="auto"/>
        <w:outlineLvl w:val="2"/>
        <w:rPr>
          <w:b/>
          <w:sz w:val="24"/>
          <w:highlight w:val="none"/>
        </w:rPr>
      </w:pPr>
      <w:r>
        <w:rPr>
          <w:rFonts w:hint="eastAsia"/>
          <w:b/>
          <w:sz w:val="24"/>
          <w:highlight w:val="none"/>
        </w:rPr>
        <w:t>六、谈判应答分项报价表</w:t>
      </w:r>
    </w:p>
    <w:p>
      <w:pPr>
        <w:tabs>
          <w:tab w:val="clear" w:pos="426"/>
        </w:tabs>
        <w:spacing w:line="300" w:lineRule="auto"/>
        <w:jc w:val="center"/>
        <w:rPr>
          <w:bCs/>
          <w:kern w:val="2"/>
          <w:sz w:val="32"/>
          <w:szCs w:val="32"/>
          <w:highlight w:val="none"/>
        </w:rPr>
      </w:pPr>
      <w:bookmarkStart w:id="46" w:name="_Toc480789480"/>
      <w:bookmarkStart w:id="47" w:name="_Toc275865611"/>
      <w:bookmarkStart w:id="48" w:name="_Toc480756076"/>
      <w:bookmarkStart w:id="49" w:name="_Toc480755930"/>
      <w:bookmarkStart w:id="50" w:name="_Toc192662843"/>
      <w:bookmarkStart w:id="51" w:name="_Toc480754209"/>
      <w:bookmarkStart w:id="52" w:name="_Toc43264525"/>
      <w:bookmarkStart w:id="53" w:name="_Toc43264518"/>
      <w:bookmarkStart w:id="54" w:name="_Toc50703730"/>
      <w:bookmarkStart w:id="55" w:name="_Toc50691037"/>
      <w:r>
        <w:rPr>
          <w:rFonts w:hint="eastAsia"/>
          <w:bCs/>
          <w:kern w:val="2"/>
          <w:sz w:val="32"/>
          <w:szCs w:val="32"/>
          <w:highlight w:val="none"/>
        </w:rPr>
        <w:t>谈判应答分项报价表</w:t>
      </w:r>
      <w:bookmarkEnd w:id="46"/>
      <w:bookmarkEnd w:id="47"/>
      <w:bookmarkEnd w:id="48"/>
      <w:bookmarkEnd w:id="49"/>
      <w:bookmarkEnd w:id="50"/>
      <w:bookmarkEnd w:id="51"/>
    </w:p>
    <w:p>
      <w:pPr>
        <w:tabs>
          <w:tab w:val="clear" w:pos="426"/>
        </w:tabs>
        <w:jc w:val="left"/>
        <w:rPr>
          <w:sz w:val="24"/>
          <w:highlight w:val="none"/>
          <w:u w:val="single"/>
        </w:rPr>
      </w:pPr>
      <w:r>
        <w:rPr>
          <w:rFonts w:hint="eastAsia"/>
          <w:highlight w:val="none"/>
        </w:rPr>
        <w:t>项目名称：</w:t>
      </w:r>
      <w:r>
        <w:rPr>
          <w:rFonts w:hint="eastAsia" w:ascii="Times New Roman" w:hAnsi="Times New Roman" w:cs="Times New Roman"/>
          <w:kern w:val="2"/>
          <w:szCs w:val="20"/>
          <w:highlight w:val="none"/>
          <w:u w:val="single"/>
        </w:rPr>
        <w:t xml:space="preserve">车辆租赁服务项目 </w:t>
      </w:r>
      <w:r>
        <w:rPr>
          <w:rFonts w:ascii="Times New Roman" w:hAnsi="Times New Roman" w:cs="Times New Roman"/>
          <w:kern w:val="2"/>
          <w:szCs w:val="20"/>
          <w:highlight w:val="none"/>
        </w:rPr>
        <w:t xml:space="preserve">           </w:t>
      </w:r>
      <w:r>
        <w:rPr>
          <w:rFonts w:hint="eastAsia"/>
          <w:highlight w:val="none"/>
        </w:rPr>
        <w:t>采购项目编号：</w:t>
      </w:r>
      <w:r>
        <w:rPr>
          <w:rFonts w:hint="eastAsia"/>
          <w:szCs w:val="21"/>
          <w:highlight w:val="none"/>
          <w:u w:val="single"/>
        </w:rPr>
        <w:t xml:space="preserve">                  </w:t>
      </w:r>
    </w:p>
    <w:p>
      <w:pPr>
        <w:pStyle w:val="280"/>
        <w:numPr>
          <w:ilvl w:val="0"/>
          <w:numId w:val="29"/>
        </w:numPr>
        <w:ind w:firstLineChars="0"/>
        <w:jc w:val="center"/>
        <w:rPr>
          <w:b/>
          <w:highlight w:val="none"/>
        </w:rPr>
      </w:pPr>
      <w:r>
        <w:rPr>
          <w:rFonts w:hint="eastAsia"/>
          <w:b/>
          <w:highlight w:val="none"/>
        </w:rPr>
        <w:t>固定路线报价表</w:t>
      </w:r>
    </w:p>
    <w:tbl>
      <w:tblPr>
        <w:tblStyle w:val="44"/>
        <w:tblW w:w="9513" w:type="dxa"/>
        <w:tblInd w:w="93" w:type="dxa"/>
        <w:tblLayout w:type="autofit"/>
        <w:tblCellMar>
          <w:top w:w="0" w:type="dxa"/>
          <w:left w:w="108" w:type="dxa"/>
          <w:bottom w:w="0" w:type="dxa"/>
          <w:right w:w="108" w:type="dxa"/>
        </w:tblCellMar>
      </w:tblPr>
      <w:tblGrid>
        <w:gridCol w:w="820"/>
        <w:gridCol w:w="4384"/>
        <w:gridCol w:w="2891"/>
        <w:gridCol w:w="1418"/>
      </w:tblGrid>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黑体" w:hAnsi="黑体" w:eastAsia="黑体"/>
                <w:sz w:val="28"/>
                <w:szCs w:val="28"/>
                <w:highlight w:val="none"/>
              </w:rPr>
            </w:pPr>
            <w:r>
              <w:rPr>
                <w:rFonts w:hint="eastAsia" w:ascii="黑体" w:hAnsi="黑体" w:eastAsia="黑体"/>
                <w:sz w:val="28"/>
                <w:szCs w:val="28"/>
                <w:highlight w:val="none"/>
              </w:rPr>
              <w:t>序号</w:t>
            </w:r>
          </w:p>
        </w:tc>
        <w:tc>
          <w:tcPr>
            <w:tcW w:w="4384" w:type="dxa"/>
            <w:tcBorders>
              <w:top w:val="single" w:color="auto" w:sz="4" w:space="0"/>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黑体" w:hAnsi="黑体" w:eastAsia="黑体"/>
                <w:sz w:val="28"/>
                <w:szCs w:val="28"/>
                <w:highlight w:val="none"/>
              </w:rPr>
            </w:pPr>
            <w:r>
              <w:rPr>
                <w:rFonts w:hint="eastAsia" w:ascii="黑体" w:hAnsi="黑体" w:eastAsia="黑体"/>
                <w:sz w:val="28"/>
                <w:szCs w:val="28"/>
                <w:highlight w:val="none"/>
              </w:rPr>
              <w:t>路线</w:t>
            </w:r>
          </w:p>
        </w:tc>
        <w:tc>
          <w:tcPr>
            <w:tcW w:w="2891" w:type="dxa"/>
            <w:tcBorders>
              <w:top w:val="single" w:color="auto" w:sz="4" w:space="0"/>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黑体" w:hAnsi="黑体" w:eastAsia="黑体"/>
                <w:sz w:val="28"/>
                <w:szCs w:val="28"/>
                <w:highlight w:val="none"/>
              </w:rPr>
            </w:pPr>
            <w:r>
              <w:rPr>
                <w:rFonts w:hint="eastAsia" w:ascii="黑体" w:hAnsi="黑体" w:eastAsia="黑体"/>
                <w:sz w:val="28"/>
                <w:szCs w:val="28"/>
                <w:highlight w:val="none"/>
              </w:rPr>
              <w:t>车型</w:t>
            </w:r>
          </w:p>
        </w:tc>
        <w:tc>
          <w:tcPr>
            <w:tcW w:w="1418" w:type="dxa"/>
            <w:tcBorders>
              <w:top w:val="single" w:color="auto" w:sz="4" w:space="0"/>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黑体" w:hAnsi="黑体" w:eastAsia="黑体"/>
                <w:sz w:val="28"/>
                <w:szCs w:val="28"/>
                <w:highlight w:val="none"/>
              </w:rPr>
            </w:pPr>
            <w:r>
              <w:rPr>
                <w:rFonts w:hint="eastAsia" w:ascii="黑体" w:hAnsi="黑体" w:eastAsia="黑体"/>
                <w:sz w:val="28"/>
                <w:szCs w:val="28"/>
                <w:highlight w:val="none"/>
              </w:rPr>
              <w:t>数量</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深圳龙华-广州海珠、广州南站方向</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30</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深圳龙华-广州花都</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3</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深圳龙华-惠州惠城、陈江方向</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6</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深圳龙华-清远大帽山</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5</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深圳龙华-汕尾捷胜</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6</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深圳龙华-陆丰南塘</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7</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深圳龙华-河源连平</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8</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深圳龙华牛地铺-深圳北站</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10</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9</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深圳龙华牛地铺-宝安机场</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6</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10</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深圳龙华-广西柳州</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11</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深圳龙华-广西贵港</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12</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东莞黄江-广州海珠、南站方向</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25</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13</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东莞黄江-广州花都</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14</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东莞黄江-惠州惠城、陈江方向</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4</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15</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东莞黄江-清远</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16</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东莞黄江-汕尾捷胜</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17</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东莞黄江-陆丰南塘</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18</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东莞黄江-河源连平</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19</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东莞黄江-深圳北站</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10</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20</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东莞黄江-宝安机场</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6</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21</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东莞黄江-广西柳州</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22</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汕尾捷胜-广州海珠</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10</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23</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汕尾捷胜-广州花都</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24</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汕尾捷胜-惠州惠城、陈江方向</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8</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25</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汕尾捷胜-清远</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1</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26</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汕尾捷胜-河源连平</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27</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汕尾捷胜-宝安机场</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28</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汕尾捷胜-潮汕机场</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29</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汕尾捷胜-广西柳州</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1</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30</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陆丰南塘-广州海珠</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3</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31</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陆丰南塘-广州花都</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2</w:t>
            </w:r>
          </w:p>
        </w:tc>
      </w:tr>
      <w:tr>
        <w:tblPrEx>
          <w:tblCellMar>
            <w:top w:w="0" w:type="dxa"/>
            <w:left w:w="108" w:type="dxa"/>
            <w:bottom w:w="0" w:type="dxa"/>
            <w:right w:w="108" w:type="dxa"/>
          </w:tblCellMar>
        </w:tblPrEx>
        <w:trPr>
          <w:trHeight w:val="398" w:hRule="atLeast"/>
        </w:trPr>
        <w:tc>
          <w:tcPr>
            <w:tcW w:w="820" w:type="dxa"/>
            <w:tcBorders>
              <w:top w:val="nil"/>
              <w:left w:val="single" w:color="auto" w:sz="4" w:space="0"/>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32</w:t>
            </w:r>
          </w:p>
        </w:tc>
        <w:tc>
          <w:tcPr>
            <w:tcW w:w="4384" w:type="dxa"/>
            <w:tcBorders>
              <w:top w:val="nil"/>
              <w:left w:val="nil"/>
              <w:bottom w:val="nil"/>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陆丰南塘-惠州惠城、陈江方向</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33</w:t>
            </w:r>
          </w:p>
        </w:tc>
        <w:tc>
          <w:tcPr>
            <w:tcW w:w="4384" w:type="dxa"/>
            <w:tcBorders>
              <w:top w:val="single" w:color="auto" w:sz="4" w:space="0"/>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陆丰南塘-清远</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1</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34</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陆丰南塘-河源连平</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35</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陆丰南塘-宝安机场</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36</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陆丰南塘-潮汕机场</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2</w:t>
            </w:r>
          </w:p>
        </w:tc>
      </w:tr>
      <w:tr>
        <w:tblPrEx>
          <w:tblCellMar>
            <w:top w:w="0" w:type="dxa"/>
            <w:left w:w="108" w:type="dxa"/>
            <w:bottom w:w="0" w:type="dxa"/>
            <w:right w:w="108" w:type="dxa"/>
          </w:tblCellMar>
        </w:tblPrEx>
        <w:trPr>
          <w:trHeight w:val="398" w:hRule="atLeast"/>
        </w:trPr>
        <w:tc>
          <w:tcPr>
            <w:tcW w:w="820" w:type="dxa"/>
            <w:tcBorders>
              <w:top w:val="single" w:color="auto" w:sz="4" w:space="0"/>
              <w:left w:val="single" w:color="auto" w:sz="4" w:space="0"/>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37</w:t>
            </w:r>
          </w:p>
        </w:tc>
        <w:tc>
          <w:tcPr>
            <w:tcW w:w="4384"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陆丰南塘-广西柳州</w:t>
            </w:r>
          </w:p>
        </w:tc>
        <w:tc>
          <w:tcPr>
            <w:tcW w:w="2891" w:type="dxa"/>
            <w:tcBorders>
              <w:top w:val="nil"/>
              <w:left w:val="nil"/>
              <w:bottom w:val="single" w:color="auto" w:sz="4" w:space="0"/>
              <w:right w:val="single" w:color="auto" w:sz="4" w:space="0"/>
            </w:tcBorders>
            <w:shd w:val="clear" w:color="000000" w:fill="FFFFFF"/>
            <w:vAlign w:val="center"/>
          </w:tcPr>
          <w:p>
            <w:pPr>
              <w:shd w:val="clear" w:color="auto" w:fill="auto"/>
              <w:tabs>
                <w:tab w:val="clear" w:pos="426"/>
              </w:tabs>
              <w:adjustRightInd/>
              <w:snapToGrid/>
              <w:spacing w:line="240" w:lineRule="auto"/>
              <w:jc w:val="center"/>
              <w:rPr>
                <w:rFonts w:ascii="仿宋_GB2312" w:eastAsia="仿宋_GB2312"/>
                <w:sz w:val="20"/>
                <w:szCs w:val="20"/>
                <w:highlight w:val="none"/>
              </w:rPr>
            </w:pPr>
            <w:r>
              <w:rPr>
                <w:rFonts w:hint="eastAsia" w:ascii="仿宋_GB2312" w:eastAsia="仿宋_GB2312"/>
                <w:sz w:val="20"/>
                <w:szCs w:val="20"/>
                <w:highlight w:val="none"/>
              </w:rPr>
              <w:t>49座大巴</w:t>
            </w:r>
          </w:p>
        </w:tc>
        <w:tc>
          <w:tcPr>
            <w:tcW w:w="1418" w:type="dxa"/>
            <w:tcBorders>
              <w:top w:val="nil"/>
              <w:left w:val="nil"/>
              <w:bottom w:val="single" w:color="auto" w:sz="4" w:space="0"/>
              <w:right w:val="single" w:color="auto" w:sz="4" w:space="0"/>
            </w:tcBorders>
            <w:shd w:val="clear" w:color="auto" w:fill="auto"/>
            <w:vAlign w:val="center"/>
          </w:tcPr>
          <w:p>
            <w:pPr>
              <w:shd w:val="clear" w:color="auto" w:fill="auto"/>
              <w:tabs>
                <w:tab w:val="clear" w:pos="426"/>
              </w:tabs>
              <w:adjustRightInd/>
              <w:snapToGrid/>
              <w:spacing w:line="240" w:lineRule="auto"/>
              <w:jc w:val="center"/>
              <w:rPr>
                <w:rFonts w:ascii="仿宋_GB2312" w:eastAsia="仿宋_GB2312"/>
                <w:szCs w:val="21"/>
                <w:highlight w:val="none"/>
              </w:rPr>
            </w:pPr>
            <w:r>
              <w:rPr>
                <w:rFonts w:hint="eastAsia" w:ascii="仿宋_GB2312" w:eastAsia="仿宋_GB2312"/>
                <w:szCs w:val="21"/>
                <w:highlight w:val="none"/>
              </w:rPr>
              <w:t>1</w:t>
            </w:r>
          </w:p>
        </w:tc>
      </w:tr>
    </w:tbl>
    <w:p>
      <w:pPr>
        <w:tabs>
          <w:tab w:val="clear" w:pos="426"/>
        </w:tabs>
        <w:spacing w:line="500" w:lineRule="exact"/>
        <w:rPr>
          <w:highlight w:val="none"/>
          <w:u w:val="none"/>
        </w:rPr>
      </w:pPr>
      <w:r>
        <w:rPr>
          <w:rFonts w:hint="eastAsia"/>
          <w:spacing w:val="4"/>
          <w:highlight w:val="none"/>
        </w:rPr>
        <w:t>投标人名称（</w:t>
      </w:r>
      <w:r>
        <w:rPr>
          <w:rFonts w:hint="eastAsia"/>
          <w:highlight w:val="none"/>
        </w:rPr>
        <w:t>单位盖</w:t>
      </w:r>
      <w:r>
        <w:rPr>
          <w:rFonts w:hint="eastAsia"/>
          <w:spacing w:val="4"/>
          <w:highlight w:val="none"/>
        </w:rPr>
        <w:t>公章）：</w:t>
      </w:r>
      <w:r>
        <w:rPr>
          <w:rFonts w:hint="eastAsia"/>
          <w:spacing w:val="4"/>
          <w:highlight w:val="none"/>
          <w:u w:val="none"/>
        </w:rPr>
        <w:t>________________________________________________________</w:t>
      </w:r>
    </w:p>
    <w:p>
      <w:pPr>
        <w:tabs>
          <w:tab w:val="clear" w:pos="426"/>
        </w:tabs>
        <w:spacing w:line="520" w:lineRule="exact"/>
        <w:rPr>
          <w:spacing w:val="4"/>
          <w:highlight w:val="none"/>
          <w:u w:val="none"/>
        </w:rPr>
      </w:pPr>
      <w:r>
        <w:rPr>
          <w:rFonts w:hint="eastAsia"/>
          <w:highlight w:val="none"/>
          <w:u w:val="none"/>
        </w:rPr>
        <w:t>法定代表人或投标人授权代表（签名或盖章）：</w:t>
      </w:r>
      <w:r>
        <w:rPr>
          <w:spacing w:val="4"/>
          <w:highlight w:val="none"/>
          <w:u w:val="none"/>
        </w:rPr>
        <w:t>_________</w:t>
      </w:r>
      <w:r>
        <w:rPr>
          <w:rFonts w:hint="eastAsia"/>
          <w:spacing w:val="4"/>
          <w:highlight w:val="none"/>
          <w:u w:val="none"/>
        </w:rPr>
        <w:t>_</w:t>
      </w:r>
      <w:r>
        <w:rPr>
          <w:spacing w:val="4"/>
          <w:highlight w:val="none"/>
          <w:u w:val="none"/>
        </w:rPr>
        <w:t xml:space="preserve">___ </w:t>
      </w:r>
      <w:r>
        <w:rPr>
          <w:rFonts w:hint="eastAsia"/>
          <w:spacing w:val="4"/>
          <w:highlight w:val="none"/>
          <w:u w:val="none"/>
        </w:rPr>
        <w:t>职务：</w:t>
      </w:r>
      <w:r>
        <w:rPr>
          <w:spacing w:val="4"/>
          <w:highlight w:val="none"/>
          <w:u w:val="none"/>
        </w:rPr>
        <w:t xml:space="preserve">_______ </w:t>
      </w:r>
      <w:r>
        <w:rPr>
          <w:rFonts w:hint="eastAsia"/>
          <w:spacing w:val="4"/>
          <w:highlight w:val="none"/>
          <w:u w:val="none"/>
        </w:rPr>
        <w:t>日期</w:t>
      </w:r>
      <w:r>
        <w:rPr>
          <w:spacing w:val="4"/>
          <w:highlight w:val="none"/>
          <w:u w:val="none"/>
        </w:rPr>
        <w:t>________</w:t>
      </w:r>
    </w:p>
    <w:p>
      <w:pPr>
        <w:tabs>
          <w:tab w:val="clear" w:pos="426"/>
        </w:tabs>
        <w:spacing w:line="400" w:lineRule="exact"/>
        <w:ind w:left="750" w:hanging="749" w:hangingChars="357"/>
        <w:rPr>
          <w:highlight w:val="none"/>
        </w:rPr>
      </w:pPr>
    </w:p>
    <w:p>
      <w:pPr>
        <w:tabs>
          <w:tab w:val="clear" w:pos="426"/>
        </w:tabs>
        <w:spacing w:line="400" w:lineRule="exact"/>
        <w:ind w:left="750" w:hanging="749" w:hangingChars="357"/>
        <w:rPr>
          <w:highlight w:val="none"/>
        </w:rPr>
      </w:pPr>
      <w:r>
        <w:rPr>
          <w:rFonts w:hint="eastAsia"/>
          <w:highlight w:val="none"/>
        </w:rPr>
        <w:t>备注：</w:t>
      </w:r>
    </w:p>
    <w:p>
      <w:pPr>
        <w:tabs>
          <w:tab w:val="clear" w:pos="426"/>
        </w:tabs>
        <w:spacing w:line="400" w:lineRule="exact"/>
        <w:ind w:left="749" w:leftChars="200" w:hanging="329" w:hangingChars="157"/>
        <w:rPr>
          <w:highlight w:val="none"/>
        </w:rPr>
      </w:pPr>
      <w:r>
        <w:rPr>
          <w:highlight w:val="none"/>
        </w:rPr>
        <w:t>1.</w:t>
      </w:r>
      <w:r>
        <w:rPr>
          <w:rFonts w:hint="eastAsia"/>
          <w:highlight w:val="none"/>
        </w:rPr>
        <w:t>固定路线报价相同时，按照</w:t>
      </w:r>
      <w:r>
        <w:rPr>
          <w:rFonts w:hint="eastAsia"/>
          <w:highlight w:val="none"/>
          <w:lang w:val="en-US" w:eastAsia="zh-CN"/>
        </w:rPr>
        <w:t>竞价</w:t>
      </w:r>
      <w:r>
        <w:rPr>
          <w:rFonts w:hint="eastAsia"/>
          <w:highlight w:val="none"/>
        </w:rPr>
        <w:t>报价高低来选取。</w:t>
      </w:r>
    </w:p>
    <w:p>
      <w:pPr>
        <w:tabs>
          <w:tab w:val="clear" w:pos="426"/>
        </w:tabs>
        <w:spacing w:line="400" w:lineRule="exact"/>
        <w:ind w:left="749" w:leftChars="200" w:hanging="329" w:hangingChars="157"/>
        <w:rPr>
          <w:highlight w:val="none"/>
        </w:rPr>
      </w:pPr>
      <w:r>
        <w:rPr>
          <w:rFonts w:hint="eastAsia"/>
          <w:highlight w:val="none"/>
          <w:lang w:val="en-US" w:eastAsia="zh-CN"/>
        </w:rPr>
        <w:t>2.</w:t>
      </w:r>
      <w:r>
        <w:rPr>
          <w:rFonts w:hint="eastAsia"/>
          <w:highlight w:val="none"/>
        </w:rPr>
        <w:t>此表为《开标一览表(报价表)》的报价明细表。</w:t>
      </w:r>
    </w:p>
    <w:p>
      <w:pPr>
        <w:tabs>
          <w:tab w:val="clear" w:pos="426"/>
        </w:tabs>
        <w:spacing w:line="400" w:lineRule="exact"/>
        <w:ind w:left="424" w:leftChars="202"/>
        <w:rPr>
          <w:highlight w:val="none"/>
        </w:rPr>
      </w:pPr>
      <w:r>
        <w:rPr>
          <w:rFonts w:hint="eastAsia"/>
          <w:highlight w:val="none"/>
          <w:lang w:val="en-US" w:eastAsia="zh-CN"/>
        </w:rPr>
        <w:t>3</w:t>
      </w:r>
      <w:r>
        <w:rPr>
          <w:rFonts w:hint="eastAsia"/>
          <w:highlight w:val="none"/>
        </w:rPr>
        <w:t>.报价需包含过路费、后撤时间计费、乘坐车辆人员保险费、司机工资、伙食费，采购方不再支付任何费</w:t>
      </w:r>
      <w:bookmarkStart w:id="340" w:name="_GoBack"/>
      <w:bookmarkEnd w:id="340"/>
      <w:r>
        <w:rPr>
          <w:rFonts w:hint="eastAsia"/>
          <w:highlight w:val="none"/>
        </w:rPr>
        <w:t>用。</w:t>
      </w:r>
    </w:p>
    <w:p>
      <w:pPr>
        <w:shd w:val="clear" w:color="auto" w:fill="auto"/>
        <w:tabs>
          <w:tab w:val="clear" w:pos="426"/>
        </w:tabs>
        <w:adjustRightInd/>
        <w:snapToGrid/>
        <w:spacing w:line="240" w:lineRule="auto"/>
        <w:jc w:val="left"/>
        <w:rPr>
          <w:b/>
          <w:spacing w:val="4"/>
          <w:sz w:val="24"/>
          <w:highlight w:val="none"/>
        </w:rPr>
      </w:pPr>
      <w:r>
        <w:rPr>
          <w:b/>
          <w:spacing w:val="4"/>
          <w:sz w:val="24"/>
          <w:highlight w:val="none"/>
        </w:rPr>
        <w:br w:type="page"/>
      </w:r>
    </w:p>
    <w:p>
      <w:pPr>
        <w:tabs>
          <w:tab w:val="clear" w:pos="426"/>
        </w:tabs>
        <w:spacing w:line="500" w:lineRule="exact"/>
        <w:jc w:val="center"/>
        <w:rPr>
          <w:b/>
          <w:spacing w:val="4"/>
          <w:sz w:val="24"/>
          <w:highlight w:val="none"/>
        </w:rPr>
      </w:pPr>
      <w:r>
        <w:rPr>
          <w:rFonts w:hint="eastAsia"/>
          <w:b/>
          <w:spacing w:val="4"/>
          <w:sz w:val="24"/>
          <w:highlight w:val="none"/>
        </w:rPr>
        <w:t>（二）每公里各种车型报价表</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4"/>
        <w:gridCol w:w="2663"/>
        <w:gridCol w:w="2977"/>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414" w:type="dxa"/>
            <w:vAlign w:val="center"/>
          </w:tcPr>
          <w:p>
            <w:pPr>
              <w:widowControl w:val="0"/>
              <w:shd w:val="clear" w:color="auto" w:fill="auto"/>
              <w:tabs>
                <w:tab w:val="clear" w:pos="426"/>
              </w:tabs>
              <w:spacing w:line="240" w:lineRule="auto"/>
              <w:jc w:val="center"/>
              <w:rPr>
                <w:b/>
                <w:spacing w:val="4"/>
                <w:szCs w:val="21"/>
                <w:highlight w:val="none"/>
              </w:rPr>
            </w:pPr>
            <w:r>
              <w:rPr>
                <w:rFonts w:hint="eastAsia"/>
                <w:b/>
                <w:spacing w:val="4"/>
                <w:szCs w:val="21"/>
                <w:highlight w:val="none"/>
              </w:rPr>
              <w:t>序号</w:t>
            </w:r>
          </w:p>
        </w:tc>
        <w:tc>
          <w:tcPr>
            <w:tcW w:w="2663" w:type="dxa"/>
            <w:vAlign w:val="center"/>
          </w:tcPr>
          <w:p>
            <w:pPr>
              <w:widowControl w:val="0"/>
              <w:shd w:val="clear" w:color="auto" w:fill="auto"/>
              <w:tabs>
                <w:tab w:val="clear" w:pos="426"/>
              </w:tabs>
              <w:spacing w:line="240" w:lineRule="auto"/>
              <w:jc w:val="center"/>
              <w:rPr>
                <w:b/>
                <w:spacing w:val="4"/>
                <w:szCs w:val="21"/>
                <w:highlight w:val="none"/>
              </w:rPr>
            </w:pPr>
            <w:r>
              <w:rPr>
                <w:rFonts w:hint="eastAsia"/>
                <w:b/>
                <w:spacing w:val="4"/>
                <w:szCs w:val="21"/>
                <w:highlight w:val="none"/>
              </w:rPr>
              <w:t>车型（座）</w:t>
            </w:r>
          </w:p>
        </w:tc>
        <w:tc>
          <w:tcPr>
            <w:tcW w:w="2977" w:type="dxa"/>
            <w:vAlign w:val="center"/>
          </w:tcPr>
          <w:p>
            <w:pPr>
              <w:widowControl w:val="0"/>
              <w:shd w:val="clear" w:color="auto" w:fill="auto"/>
              <w:tabs>
                <w:tab w:val="clear" w:pos="426"/>
              </w:tabs>
              <w:spacing w:line="240" w:lineRule="auto"/>
              <w:jc w:val="center"/>
              <w:rPr>
                <w:b/>
                <w:spacing w:val="4"/>
                <w:szCs w:val="21"/>
                <w:highlight w:val="none"/>
              </w:rPr>
            </w:pPr>
            <w:r>
              <w:rPr>
                <w:rFonts w:hint="eastAsia"/>
                <w:b/>
                <w:spacing w:val="4"/>
                <w:szCs w:val="21"/>
                <w:highlight w:val="none"/>
              </w:rPr>
              <w:t>单价（元/km/台）</w:t>
            </w:r>
          </w:p>
        </w:tc>
        <w:tc>
          <w:tcPr>
            <w:tcW w:w="1950" w:type="dxa"/>
            <w:vAlign w:val="center"/>
          </w:tcPr>
          <w:p>
            <w:pPr>
              <w:widowControl w:val="0"/>
              <w:shd w:val="clear" w:color="auto" w:fill="auto"/>
              <w:tabs>
                <w:tab w:val="clear" w:pos="426"/>
              </w:tabs>
              <w:spacing w:line="240" w:lineRule="auto"/>
              <w:jc w:val="center"/>
              <w:rPr>
                <w:b/>
                <w:spacing w:val="4"/>
                <w:szCs w:val="21"/>
                <w:highlight w:val="none"/>
              </w:rPr>
            </w:pPr>
            <w:r>
              <w:rPr>
                <w:rFonts w:hint="eastAsia"/>
                <w:b/>
                <w:spacing w:val="4"/>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414" w:type="dxa"/>
            <w:vAlign w:val="center"/>
          </w:tcPr>
          <w:p>
            <w:pPr>
              <w:widowControl w:val="0"/>
              <w:shd w:val="clear" w:color="auto" w:fill="auto"/>
              <w:tabs>
                <w:tab w:val="clear" w:pos="426"/>
              </w:tabs>
              <w:spacing w:line="240" w:lineRule="auto"/>
              <w:jc w:val="center"/>
              <w:rPr>
                <w:spacing w:val="4"/>
                <w:szCs w:val="21"/>
                <w:highlight w:val="none"/>
              </w:rPr>
            </w:pPr>
            <w:r>
              <w:rPr>
                <w:rFonts w:hint="eastAsia"/>
                <w:spacing w:val="4"/>
                <w:szCs w:val="21"/>
                <w:highlight w:val="none"/>
              </w:rPr>
              <w:t>1</w:t>
            </w:r>
          </w:p>
        </w:tc>
        <w:tc>
          <w:tcPr>
            <w:tcW w:w="2663" w:type="dxa"/>
            <w:vAlign w:val="center"/>
          </w:tcPr>
          <w:p>
            <w:pPr>
              <w:widowControl w:val="0"/>
              <w:shd w:val="clear" w:color="auto" w:fill="auto"/>
              <w:tabs>
                <w:tab w:val="clear" w:pos="426"/>
              </w:tabs>
              <w:spacing w:line="240" w:lineRule="auto"/>
              <w:jc w:val="center"/>
              <w:rPr>
                <w:spacing w:val="4"/>
                <w:szCs w:val="21"/>
                <w:highlight w:val="none"/>
              </w:rPr>
            </w:pPr>
            <w:r>
              <w:rPr>
                <w:rFonts w:hint="eastAsia"/>
                <w:spacing w:val="4"/>
                <w:szCs w:val="21"/>
                <w:highlight w:val="none"/>
              </w:rPr>
              <w:t>55</w:t>
            </w:r>
          </w:p>
        </w:tc>
        <w:tc>
          <w:tcPr>
            <w:tcW w:w="2977" w:type="dxa"/>
            <w:vAlign w:val="center"/>
          </w:tcPr>
          <w:p>
            <w:pPr>
              <w:widowControl w:val="0"/>
              <w:shd w:val="clear" w:color="auto" w:fill="auto"/>
              <w:tabs>
                <w:tab w:val="clear" w:pos="426"/>
              </w:tabs>
              <w:spacing w:line="240" w:lineRule="auto"/>
              <w:jc w:val="center"/>
              <w:rPr>
                <w:spacing w:val="4"/>
                <w:szCs w:val="21"/>
                <w:highlight w:val="none"/>
              </w:rPr>
            </w:pPr>
          </w:p>
        </w:tc>
        <w:tc>
          <w:tcPr>
            <w:tcW w:w="1950" w:type="dxa"/>
            <w:vAlign w:val="center"/>
          </w:tcPr>
          <w:p>
            <w:pPr>
              <w:widowControl w:val="0"/>
              <w:shd w:val="clear" w:color="auto" w:fill="auto"/>
              <w:tabs>
                <w:tab w:val="clear" w:pos="426"/>
              </w:tabs>
              <w:spacing w:line="240" w:lineRule="auto"/>
              <w:jc w:val="center"/>
              <w:rPr>
                <w:spacing w:val="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414" w:type="dxa"/>
            <w:vAlign w:val="center"/>
          </w:tcPr>
          <w:p>
            <w:pPr>
              <w:widowControl w:val="0"/>
              <w:shd w:val="clear" w:color="auto" w:fill="auto"/>
              <w:tabs>
                <w:tab w:val="clear" w:pos="426"/>
              </w:tabs>
              <w:spacing w:line="240" w:lineRule="auto"/>
              <w:jc w:val="center"/>
              <w:rPr>
                <w:spacing w:val="4"/>
                <w:szCs w:val="21"/>
                <w:highlight w:val="none"/>
              </w:rPr>
            </w:pPr>
            <w:r>
              <w:rPr>
                <w:rFonts w:hint="eastAsia"/>
                <w:spacing w:val="4"/>
                <w:szCs w:val="21"/>
                <w:highlight w:val="none"/>
              </w:rPr>
              <w:t>2</w:t>
            </w:r>
          </w:p>
        </w:tc>
        <w:tc>
          <w:tcPr>
            <w:tcW w:w="2663" w:type="dxa"/>
            <w:vAlign w:val="center"/>
          </w:tcPr>
          <w:p>
            <w:pPr>
              <w:widowControl w:val="0"/>
              <w:shd w:val="clear" w:color="auto" w:fill="auto"/>
              <w:tabs>
                <w:tab w:val="clear" w:pos="426"/>
              </w:tabs>
              <w:spacing w:line="240" w:lineRule="auto"/>
              <w:jc w:val="center"/>
              <w:rPr>
                <w:spacing w:val="4"/>
                <w:szCs w:val="21"/>
                <w:highlight w:val="none"/>
              </w:rPr>
            </w:pPr>
            <w:r>
              <w:rPr>
                <w:rFonts w:hint="eastAsia"/>
                <w:spacing w:val="4"/>
                <w:szCs w:val="21"/>
                <w:highlight w:val="none"/>
              </w:rPr>
              <w:t>32</w:t>
            </w:r>
          </w:p>
        </w:tc>
        <w:tc>
          <w:tcPr>
            <w:tcW w:w="2977" w:type="dxa"/>
            <w:vAlign w:val="center"/>
          </w:tcPr>
          <w:p>
            <w:pPr>
              <w:widowControl w:val="0"/>
              <w:shd w:val="clear" w:color="auto" w:fill="auto"/>
              <w:tabs>
                <w:tab w:val="clear" w:pos="426"/>
              </w:tabs>
              <w:spacing w:line="240" w:lineRule="auto"/>
              <w:jc w:val="center"/>
              <w:rPr>
                <w:spacing w:val="4"/>
                <w:szCs w:val="21"/>
                <w:highlight w:val="none"/>
              </w:rPr>
            </w:pPr>
          </w:p>
        </w:tc>
        <w:tc>
          <w:tcPr>
            <w:tcW w:w="1950" w:type="dxa"/>
            <w:vAlign w:val="center"/>
          </w:tcPr>
          <w:p>
            <w:pPr>
              <w:widowControl w:val="0"/>
              <w:shd w:val="clear" w:color="auto" w:fill="auto"/>
              <w:tabs>
                <w:tab w:val="clear" w:pos="426"/>
              </w:tabs>
              <w:spacing w:line="240" w:lineRule="auto"/>
              <w:jc w:val="center"/>
              <w:rPr>
                <w:spacing w:val="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414" w:type="dxa"/>
            <w:vAlign w:val="center"/>
          </w:tcPr>
          <w:p>
            <w:pPr>
              <w:widowControl w:val="0"/>
              <w:shd w:val="clear" w:color="auto" w:fill="auto"/>
              <w:tabs>
                <w:tab w:val="clear" w:pos="426"/>
              </w:tabs>
              <w:spacing w:line="240" w:lineRule="auto"/>
              <w:jc w:val="center"/>
              <w:rPr>
                <w:spacing w:val="4"/>
                <w:szCs w:val="21"/>
                <w:highlight w:val="none"/>
              </w:rPr>
            </w:pPr>
            <w:r>
              <w:rPr>
                <w:rFonts w:hint="eastAsia"/>
                <w:spacing w:val="4"/>
                <w:szCs w:val="21"/>
                <w:highlight w:val="none"/>
              </w:rPr>
              <w:t>3</w:t>
            </w:r>
          </w:p>
        </w:tc>
        <w:tc>
          <w:tcPr>
            <w:tcW w:w="2663" w:type="dxa"/>
            <w:vAlign w:val="center"/>
          </w:tcPr>
          <w:p>
            <w:pPr>
              <w:widowControl w:val="0"/>
              <w:shd w:val="clear" w:color="auto" w:fill="auto"/>
              <w:tabs>
                <w:tab w:val="clear" w:pos="426"/>
              </w:tabs>
              <w:spacing w:line="240" w:lineRule="auto"/>
              <w:jc w:val="center"/>
              <w:rPr>
                <w:spacing w:val="4"/>
                <w:szCs w:val="21"/>
                <w:highlight w:val="none"/>
              </w:rPr>
            </w:pPr>
            <w:r>
              <w:rPr>
                <w:rFonts w:hint="eastAsia"/>
                <w:spacing w:val="4"/>
                <w:szCs w:val="21"/>
                <w:highlight w:val="none"/>
              </w:rPr>
              <w:t>7</w:t>
            </w:r>
          </w:p>
        </w:tc>
        <w:tc>
          <w:tcPr>
            <w:tcW w:w="2977" w:type="dxa"/>
            <w:vAlign w:val="center"/>
          </w:tcPr>
          <w:p>
            <w:pPr>
              <w:widowControl w:val="0"/>
              <w:shd w:val="clear" w:color="auto" w:fill="auto"/>
              <w:tabs>
                <w:tab w:val="clear" w:pos="426"/>
              </w:tabs>
              <w:spacing w:line="240" w:lineRule="auto"/>
              <w:jc w:val="center"/>
              <w:rPr>
                <w:spacing w:val="4"/>
                <w:szCs w:val="21"/>
                <w:highlight w:val="none"/>
              </w:rPr>
            </w:pPr>
          </w:p>
        </w:tc>
        <w:tc>
          <w:tcPr>
            <w:tcW w:w="1950" w:type="dxa"/>
            <w:vAlign w:val="center"/>
          </w:tcPr>
          <w:p>
            <w:pPr>
              <w:widowControl w:val="0"/>
              <w:shd w:val="clear" w:color="auto" w:fill="auto"/>
              <w:tabs>
                <w:tab w:val="clear" w:pos="426"/>
              </w:tabs>
              <w:spacing w:line="240" w:lineRule="auto"/>
              <w:jc w:val="center"/>
              <w:rPr>
                <w:spacing w:val="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414" w:type="dxa"/>
            <w:vAlign w:val="center"/>
          </w:tcPr>
          <w:p>
            <w:pPr>
              <w:widowControl w:val="0"/>
              <w:shd w:val="clear" w:color="auto" w:fill="auto"/>
              <w:tabs>
                <w:tab w:val="clear" w:pos="426"/>
              </w:tabs>
              <w:spacing w:line="240" w:lineRule="auto"/>
              <w:jc w:val="center"/>
              <w:rPr>
                <w:spacing w:val="4"/>
                <w:szCs w:val="21"/>
                <w:highlight w:val="none"/>
              </w:rPr>
            </w:pPr>
            <w:r>
              <w:rPr>
                <w:rFonts w:hint="eastAsia"/>
                <w:spacing w:val="4"/>
                <w:szCs w:val="21"/>
                <w:highlight w:val="none"/>
              </w:rPr>
              <w:t>……</w:t>
            </w:r>
          </w:p>
        </w:tc>
        <w:tc>
          <w:tcPr>
            <w:tcW w:w="2663" w:type="dxa"/>
            <w:vAlign w:val="center"/>
          </w:tcPr>
          <w:p>
            <w:pPr>
              <w:widowControl w:val="0"/>
              <w:shd w:val="clear" w:color="auto" w:fill="auto"/>
              <w:tabs>
                <w:tab w:val="clear" w:pos="426"/>
              </w:tabs>
              <w:spacing w:line="240" w:lineRule="auto"/>
              <w:jc w:val="center"/>
              <w:rPr>
                <w:spacing w:val="4"/>
                <w:szCs w:val="21"/>
                <w:highlight w:val="none"/>
              </w:rPr>
            </w:pPr>
          </w:p>
        </w:tc>
        <w:tc>
          <w:tcPr>
            <w:tcW w:w="2977" w:type="dxa"/>
            <w:vAlign w:val="center"/>
          </w:tcPr>
          <w:p>
            <w:pPr>
              <w:widowControl w:val="0"/>
              <w:shd w:val="clear" w:color="auto" w:fill="auto"/>
              <w:tabs>
                <w:tab w:val="clear" w:pos="426"/>
              </w:tabs>
              <w:spacing w:line="240" w:lineRule="auto"/>
              <w:jc w:val="center"/>
              <w:rPr>
                <w:spacing w:val="4"/>
                <w:szCs w:val="21"/>
                <w:highlight w:val="none"/>
              </w:rPr>
            </w:pPr>
          </w:p>
        </w:tc>
        <w:tc>
          <w:tcPr>
            <w:tcW w:w="1950" w:type="dxa"/>
            <w:vAlign w:val="center"/>
          </w:tcPr>
          <w:p>
            <w:pPr>
              <w:widowControl w:val="0"/>
              <w:shd w:val="clear" w:color="auto" w:fill="auto"/>
              <w:tabs>
                <w:tab w:val="clear" w:pos="426"/>
              </w:tabs>
              <w:spacing w:line="240" w:lineRule="auto"/>
              <w:jc w:val="center"/>
              <w:rPr>
                <w:spacing w:val="4"/>
                <w:szCs w:val="21"/>
                <w:highlight w:val="none"/>
              </w:rPr>
            </w:pPr>
          </w:p>
        </w:tc>
      </w:tr>
    </w:tbl>
    <w:p>
      <w:pPr>
        <w:tabs>
          <w:tab w:val="clear" w:pos="426"/>
        </w:tabs>
        <w:spacing w:line="500" w:lineRule="exact"/>
        <w:rPr>
          <w:spacing w:val="4"/>
          <w:highlight w:val="none"/>
        </w:rPr>
      </w:pPr>
    </w:p>
    <w:p>
      <w:pPr>
        <w:tabs>
          <w:tab w:val="clear" w:pos="426"/>
        </w:tabs>
        <w:spacing w:line="500" w:lineRule="exact"/>
        <w:rPr>
          <w:highlight w:val="none"/>
          <w:u w:val="none"/>
        </w:rPr>
      </w:pPr>
      <w:r>
        <w:rPr>
          <w:rFonts w:hint="eastAsia"/>
          <w:spacing w:val="4"/>
          <w:highlight w:val="none"/>
        </w:rPr>
        <w:t>投标人名称（</w:t>
      </w:r>
      <w:r>
        <w:rPr>
          <w:rFonts w:hint="eastAsia"/>
          <w:highlight w:val="none"/>
        </w:rPr>
        <w:t>单位盖</w:t>
      </w:r>
      <w:r>
        <w:rPr>
          <w:rFonts w:hint="eastAsia"/>
          <w:spacing w:val="4"/>
          <w:highlight w:val="none"/>
        </w:rPr>
        <w:t>公章）：</w:t>
      </w:r>
      <w:r>
        <w:rPr>
          <w:rFonts w:hint="eastAsia"/>
          <w:spacing w:val="4"/>
          <w:highlight w:val="none"/>
          <w:u w:val="none"/>
        </w:rPr>
        <w:t>________________________________________________________</w:t>
      </w:r>
    </w:p>
    <w:p>
      <w:pPr>
        <w:tabs>
          <w:tab w:val="clear" w:pos="426"/>
        </w:tabs>
        <w:spacing w:line="520" w:lineRule="exact"/>
        <w:rPr>
          <w:spacing w:val="4"/>
          <w:highlight w:val="none"/>
          <w:u w:val="none"/>
        </w:rPr>
      </w:pPr>
      <w:r>
        <w:rPr>
          <w:rFonts w:hint="eastAsia"/>
          <w:highlight w:val="none"/>
          <w:u w:val="none"/>
        </w:rPr>
        <w:t>法定代表人或投标人授权代表（签名或盖章）：</w:t>
      </w:r>
      <w:r>
        <w:rPr>
          <w:spacing w:val="4"/>
          <w:highlight w:val="none"/>
          <w:u w:val="none"/>
        </w:rPr>
        <w:t>_________</w:t>
      </w:r>
      <w:r>
        <w:rPr>
          <w:rFonts w:hint="eastAsia"/>
          <w:spacing w:val="4"/>
          <w:highlight w:val="none"/>
          <w:u w:val="none"/>
        </w:rPr>
        <w:t>_</w:t>
      </w:r>
      <w:r>
        <w:rPr>
          <w:spacing w:val="4"/>
          <w:highlight w:val="none"/>
          <w:u w:val="none"/>
        </w:rPr>
        <w:t xml:space="preserve">___ </w:t>
      </w:r>
      <w:r>
        <w:rPr>
          <w:rFonts w:hint="eastAsia"/>
          <w:spacing w:val="4"/>
          <w:highlight w:val="none"/>
          <w:u w:val="none"/>
        </w:rPr>
        <w:t>职务：</w:t>
      </w:r>
      <w:r>
        <w:rPr>
          <w:spacing w:val="4"/>
          <w:highlight w:val="none"/>
          <w:u w:val="none"/>
        </w:rPr>
        <w:t xml:space="preserve">_______ </w:t>
      </w:r>
      <w:r>
        <w:rPr>
          <w:rFonts w:hint="eastAsia"/>
          <w:spacing w:val="4"/>
          <w:highlight w:val="none"/>
          <w:u w:val="none"/>
        </w:rPr>
        <w:t>日期</w:t>
      </w:r>
      <w:r>
        <w:rPr>
          <w:spacing w:val="4"/>
          <w:highlight w:val="none"/>
          <w:u w:val="none"/>
        </w:rPr>
        <w:t>________</w:t>
      </w:r>
    </w:p>
    <w:p>
      <w:pPr>
        <w:tabs>
          <w:tab w:val="clear" w:pos="426"/>
        </w:tabs>
        <w:spacing w:line="400" w:lineRule="exact"/>
        <w:ind w:left="539" w:leftChars="200" w:hanging="119" w:hangingChars="57"/>
        <w:rPr>
          <w:highlight w:val="none"/>
        </w:rPr>
      </w:pPr>
    </w:p>
    <w:p>
      <w:pPr>
        <w:tabs>
          <w:tab w:val="clear" w:pos="426"/>
        </w:tabs>
        <w:spacing w:line="400" w:lineRule="exact"/>
        <w:ind w:left="750" w:hanging="749" w:hangingChars="357"/>
        <w:rPr>
          <w:highlight w:val="none"/>
        </w:rPr>
      </w:pPr>
      <w:r>
        <w:rPr>
          <w:rFonts w:hint="eastAsia"/>
          <w:highlight w:val="none"/>
        </w:rPr>
        <w:t>备注：</w:t>
      </w:r>
    </w:p>
    <w:p>
      <w:pPr>
        <w:tabs>
          <w:tab w:val="clear" w:pos="426"/>
        </w:tabs>
        <w:spacing w:line="400" w:lineRule="exact"/>
        <w:ind w:left="749" w:leftChars="200" w:hanging="329" w:hangingChars="157"/>
        <w:rPr>
          <w:highlight w:val="none"/>
        </w:rPr>
      </w:pPr>
      <w:r>
        <w:rPr>
          <w:rFonts w:hint="eastAsia"/>
          <w:highlight w:val="none"/>
        </w:rPr>
        <w:t>1.此表报价将作为采购人临时用车（除本项目固定路线用车外）时的付费标准。</w:t>
      </w:r>
    </w:p>
    <w:p>
      <w:pPr>
        <w:tabs>
          <w:tab w:val="clear" w:pos="426"/>
        </w:tabs>
        <w:spacing w:line="400" w:lineRule="exact"/>
        <w:ind w:left="424" w:leftChars="202"/>
        <w:rPr>
          <w:highlight w:val="none"/>
        </w:rPr>
      </w:pPr>
      <w:r>
        <w:rPr>
          <w:rFonts w:hint="eastAsia"/>
          <w:highlight w:val="none"/>
        </w:rPr>
        <w:t>2.报价需包含过路费、后撤时间计费、乘坐车辆人员保险费、司机工资、伙食费，采购方不再支付任何费用。</w:t>
      </w:r>
    </w:p>
    <w:p>
      <w:pPr>
        <w:tabs>
          <w:tab w:val="clear" w:pos="426"/>
        </w:tabs>
        <w:spacing w:line="400" w:lineRule="exact"/>
        <w:ind w:left="539" w:leftChars="200" w:hanging="119" w:hangingChars="57"/>
        <w:rPr>
          <w:highlight w:val="none"/>
        </w:rPr>
      </w:pPr>
    </w:p>
    <w:p>
      <w:pPr>
        <w:shd w:val="clear" w:color="auto" w:fill="auto"/>
        <w:tabs>
          <w:tab w:val="clear" w:pos="426"/>
        </w:tabs>
        <w:adjustRightInd/>
        <w:snapToGrid/>
        <w:spacing w:line="240" w:lineRule="auto"/>
        <w:jc w:val="left"/>
        <w:rPr>
          <w:bCs/>
          <w:kern w:val="2"/>
          <w:sz w:val="32"/>
          <w:szCs w:val="32"/>
          <w:highlight w:val="none"/>
        </w:rPr>
      </w:pPr>
      <w:r>
        <w:rPr>
          <w:bCs/>
          <w:kern w:val="2"/>
          <w:sz w:val="32"/>
          <w:szCs w:val="32"/>
          <w:highlight w:val="none"/>
        </w:rPr>
        <w:br w:type="page"/>
      </w:r>
    </w:p>
    <w:p>
      <w:pPr>
        <w:tabs>
          <w:tab w:val="clear" w:pos="426"/>
        </w:tabs>
        <w:adjustRightInd/>
        <w:snapToGrid/>
        <w:spacing w:before="280" w:after="290" w:line="377" w:lineRule="auto"/>
        <w:outlineLvl w:val="2"/>
        <w:rPr>
          <w:b/>
          <w:sz w:val="24"/>
          <w:highlight w:val="none"/>
        </w:rPr>
      </w:pPr>
      <w:r>
        <w:rPr>
          <w:rFonts w:hint="eastAsia"/>
          <w:b/>
          <w:sz w:val="24"/>
          <w:highlight w:val="none"/>
        </w:rPr>
        <w:t>七、实质性响应条款偏离表</w:t>
      </w:r>
    </w:p>
    <w:p>
      <w:pPr>
        <w:tabs>
          <w:tab w:val="clear" w:pos="426"/>
        </w:tabs>
        <w:jc w:val="left"/>
        <w:rPr>
          <w:sz w:val="24"/>
          <w:highlight w:val="none"/>
          <w:u w:val="single"/>
        </w:rPr>
      </w:pPr>
      <w:r>
        <w:rPr>
          <w:rFonts w:hint="eastAsia"/>
          <w:highlight w:val="none"/>
        </w:rPr>
        <w:t>项目名称：</w:t>
      </w:r>
      <w:r>
        <w:rPr>
          <w:rFonts w:hint="eastAsia" w:ascii="Times New Roman" w:hAnsi="Times New Roman" w:cs="Times New Roman"/>
          <w:kern w:val="2"/>
          <w:szCs w:val="20"/>
          <w:highlight w:val="none"/>
          <w:u w:val="single"/>
        </w:rPr>
        <w:t xml:space="preserve">车辆租赁服务项目     </w:t>
      </w:r>
      <w:r>
        <w:rPr>
          <w:rFonts w:ascii="Times New Roman" w:hAnsi="Times New Roman" w:cs="Times New Roman"/>
          <w:kern w:val="2"/>
          <w:szCs w:val="20"/>
          <w:highlight w:val="none"/>
        </w:rPr>
        <w:t xml:space="preserve">           </w:t>
      </w:r>
      <w:r>
        <w:rPr>
          <w:rFonts w:hint="eastAsia"/>
          <w:highlight w:val="none"/>
        </w:rPr>
        <w:t>采购项目编号：</w:t>
      </w:r>
      <w:r>
        <w:rPr>
          <w:rFonts w:hint="eastAsia"/>
          <w:szCs w:val="21"/>
          <w:highlight w:val="none"/>
          <w:u w:val="single"/>
        </w:rPr>
        <w:t xml:space="preserve">            </w:t>
      </w:r>
    </w:p>
    <w:p>
      <w:pPr>
        <w:tabs>
          <w:tab w:val="clear" w:pos="426"/>
        </w:tabs>
        <w:jc w:val="center"/>
        <w:rPr>
          <w:b/>
          <w:spacing w:val="4"/>
          <w:highlight w:val="none"/>
        </w:rPr>
      </w:pPr>
      <w:r>
        <w:rPr>
          <w:rFonts w:hint="eastAsia"/>
          <w:b/>
          <w:spacing w:val="4"/>
          <w:highlight w:val="none"/>
        </w:rPr>
        <w:t>（格式自定）</w:t>
      </w:r>
    </w:p>
    <w:p>
      <w:pPr>
        <w:tabs>
          <w:tab w:val="clear" w:pos="426"/>
        </w:tabs>
        <w:ind w:firstLine="424" w:firstLineChars="202"/>
        <w:rPr>
          <w:rFonts w:cs="Arial"/>
          <w:bCs/>
          <w:szCs w:val="21"/>
          <w:highlight w:val="none"/>
        </w:rPr>
      </w:pPr>
    </w:p>
    <w:p>
      <w:pPr>
        <w:tabs>
          <w:tab w:val="clear" w:pos="426"/>
        </w:tabs>
        <w:adjustRightInd/>
        <w:snapToGrid/>
        <w:spacing w:before="280" w:after="290" w:line="377" w:lineRule="auto"/>
        <w:outlineLvl w:val="2"/>
        <w:rPr>
          <w:b/>
          <w:sz w:val="24"/>
          <w:highlight w:val="none"/>
        </w:rPr>
      </w:pPr>
      <w:r>
        <w:rPr>
          <w:rFonts w:cs="Arial"/>
          <w:bCs/>
          <w:highlight w:val="none"/>
        </w:rPr>
        <w:br w:type="page"/>
      </w:r>
      <w:r>
        <w:rPr>
          <w:rFonts w:hint="eastAsia"/>
          <w:b/>
          <w:sz w:val="24"/>
          <w:highlight w:val="none"/>
        </w:rPr>
        <w:t>八、项目需求响应表（实质性条款除外）</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项目需求响应表（实质性条款除外）</w:t>
      </w:r>
    </w:p>
    <w:p>
      <w:pPr>
        <w:tabs>
          <w:tab w:val="clear" w:pos="426"/>
        </w:tabs>
        <w:rPr>
          <w:highlight w:val="none"/>
        </w:rPr>
      </w:pPr>
    </w:p>
    <w:p>
      <w:pPr>
        <w:tabs>
          <w:tab w:val="clear" w:pos="426"/>
        </w:tabs>
        <w:jc w:val="left"/>
        <w:rPr>
          <w:rFonts w:hint="eastAsia" w:eastAsia="宋体"/>
          <w:sz w:val="24"/>
          <w:highlight w:val="none"/>
          <w:u w:val="single"/>
          <w:lang w:eastAsia="zh-CN"/>
        </w:rPr>
      </w:pPr>
      <w:r>
        <w:rPr>
          <w:rFonts w:hint="eastAsia"/>
          <w:highlight w:val="none"/>
        </w:rPr>
        <w:t>项目名称：</w:t>
      </w:r>
      <w:r>
        <w:rPr>
          <w:rFonts w:hint="eastAsia" w:ascii="Times New Roman" w:hAnsi="Times New Roman" w:cs="Times New Roman"/>
          <w:kern w:val="2"/>
          <w:szCs w:val="20"/>
          <w:highlight w:val="none"/>
          <w:u w:val="single"/>
        </w:rPr>
        <w:t xml:space="preserve">车辆租赁服务项目    </w:t>
      </w:r>
      <w:r>
        <w:rPr>
          <w:rFonts w:ascii="Times New Roman" w:hAnsi="Times New Roman" w:cs="Times New Roman"/>
          <w:kern w:val="2"/>
          <w:szCs w:val="20"/>
          <w:highlight w:val="none"/>
        </w:rPr>
        <w:t xml:space="preserve">           </w:t>
      </w:r>
      <w:r>
        <w:rPr>
          <w:rFonts w:hint="eastAsia"/>
          <w:highlight w:val="none"/>
        </w:rPr>
        <w:t>采购项目编号：</w:t>
      </w:r>
      <w:r>
        <w:rPr>
          <w:rFonts w:hint="eastAsia"/>
          <w:szCs w:val="21"/>
          <w:highlight w:val="none"/>
          <w:u w:val="single"/>
        </w:rPr>
        <w:t xml:space="preserve">           </w:t>
      </w:r>
    </w:p>
    <w:p>
      <w:pPr>
        <w:tabs>
          <w:tab w:val="clear" w:pos="426"/>
        </w:tabs>
        <w:ind w:firstLine="424" w:firstLineChars="202"/>
        <w:rPr>
          <w:rFonts w:cs="Arial"/>
          <w:bCs/>
          <w:highlight w:val="none"/>
        </w:rPr>
      </w:pPr>
      <w:r>
        <w:rPr>
          <w:rFonts w:hint="eastAsia" w:cs="Arial"/>
          <w:bCs/>
          <w:highlight w:val="none"/>
        </w:rPr>
        <w:t>（一）据谈判文件要求，我公司承诺响应如下：</w:t>
      </w:r>
    </w:p>
    <w:tbl>
      <w:tblPr>
        <w:tblStyle w:val="44"/>
        <w:tblW w:w="9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3587"/>
        <w:gridCol w:w="3587"/>
        <w:gridCol w:w="1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2" w:type="dxa"/>
            <w:vAlign w:val="center"/>
          </w:tcPr>
          <w:p>
            <w:pPr>
              <w:tabs>
                <w:tab w:val="clear" w:pos="426"/>
              </w:tabs>
              <w:spacing w:line="240" w:lineRule="auto"/>
              <w:jc w:val="center"/>
              <w:rPr>
                <w:rFonts w:cs="Arial"/>
                <w:szCs w:val="21"/>
                <w:highlight w:val="none"/>
              </w:rPr>
            </w:pPr>
            <w:r>
              <w:rPr>
                <w:rFonts w:hint="eastAsia" w:cs="Arial"/>
                <w:szCs w:val="21"/>
                <w:highlight w:val="none"/>
              </w:rPr>
              <w:t>序号</w:t>
            </w:r>
          </w:p>
        </w:tc>
        <w:tc>
          <w:tcPr>
            <w:tcW w:w="3587" w:type="dxa"/>
            <w:vAlign w:val="center"/>
          </w:tcPr>
          <w:p>
            <w:pPr>
              <w:tabs>
                <w:tab w:val="clear" w:pos="426"/>
              </w:tabs>
              <w:spacing w:line="240" w:lineRule="auto"/>
              <w:jc w:val="center"/>
              <w:rPr>
                <w:rFonts w:cs="Arial"/>
                <w:szCs w:val="21"/>
                <w:highlight w:val="none"/>
              </w:rPr>
            </w:pPr>
            <w:r>
              <w:rPr>
                <w:rFonts w:hint="eastAsia" w:cs="Arial"/>
                <w:szCs w:val="21"/>
                <w:highlight w:val="none"/>
              </w:rPr>
              <w:t>谈判文件要求</w:t>
            </w:r>
          </w:p>
        </w:tc>
        <w:tc>
          <w:tcPr>
            <w:tcW w:w="3587" w:type="dxa"/>
            <w:vAlign w:val="center"/>
          </w:tcPr>
          <w:p>
            <w:pPr>
              <w:tabs>
                <w:tab w:val="clear" w:pos="426"/>
              </w:tabs>
              <w:spacing w:line="240" w:lineRule="auto"/>
              <w:jc w:val="center"/>
              <w:rPr>
                <w:rFonts w:cs="Arial"/>
                <w:szCs w:val="21"/>
                <w:highlight w:val="none"/>
              </w:rPr>
            </w:pPr>
            <w:r>
              <w:rPr>
                <w:rFonts w:hint="eastAsia" w:cs="Arial"/>
                <w:szCs w:val="21"/>
                <w:highlight w:val="none"/>
              </w:rPr>
              <w:t>谈判应答文件响应</w:t>
            </w:r>
          </w:p>
        </w:tc>
        <w:tc>
          <w:tcPr>
            <w:tcW w:w="1820" w:type="dxa"/>
            <w:vAlign w:val="center"/>
          </w:tcPr>
          <w:p>
            <w:pPr>
              <w:tabs>
                <w:tab w:val="clear" w:pos="426"/>
              </w:tabs>
              <w:spacing w:line="240" w:lineRule="auto"/>
              <w:jc w:val="center"/>
              <w:rPr>
                <w:rFonts w:cs="Arial"/>
                <w:szCs w:val="21"/>
                <w:highlight w:val="none"/>
              </w:rPr>
            </w:pPr>
            <w:r>
              <w:rPr>
                <w:rFonts w:hint="eastAsia" w:cs="Arial"/>
                <w:szCs w:val="21"/>
                <w:highlight w:val="none"/>
              </w:rPr>
              <w:t>偏离说明（符合/正偏离/负偏离）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2" w:type="dxa"/>
            <w:vAlign w:val="center"/>
          </w:tcPr>
          <w:p>
            <w:pPr>
              <w:tabs>
                <w:tab w:val="clear" w:pos="426"/>
              </w:tabs>
              <w:spacing w:line="240" w:lineRule="auto"/>
              <w:jc w:val="center"/>
              <w:rPr>
                <w:rFonts w:cs="Arial"/>
                <w:szCs w:val="21"/>
                <w:highlight w:val="none"/>
              </w:rPr>
            </w:pPr>
            <w:r>
              <w:rPr>
                <w:rFonts w:hint="eastAsia" w:cs="Arial"/>
                <w:szCs w:val="21"/>
                <w:highlight w:val="none"/>
              </w:rPr>
              <w:t>1</w:t>
            </w:r>
          </w:p>
        </w:tc>
        <w:tc>
          <w:tcPr>
            <w:tcW w:w="3587" w:type="dxa"/>
            <w:vAlign w:val="center"/>
          </w:tcPr>
          <w:p>
            <w:pPr>
              <w:tabs>
                <w:tab w:val="clear" w:pos="426"/>
              </w:tabs>
              <w:spacing w:line="240" w:lineRule="auto"/>
              <w:jc w:val="center"/>
              <w:rPr>
                <w:bCs/>
                <w:highlight w:val="none"/>
              </w:rPr>
            </w:pPr>
            <w:r>
              <w:rPr>
                <w:rFonts w:hint="eastAsia" w:cs="Arial"/>
                <w:highlight w:val="none"/>
              </w:rPr>
              <w:t>谈判文件第三章</w:t>
            </w:r>
            <w:r>
              <w:rPr>
                <w:rFonts w:hint="eastAsia"/>
                <w:bCs/>
                <w:highlight w:val="none"/>
              </w:rPr>
              <w:t>项目</w:t>
            </w:r>
            <w:r>
              <w:rPr>
                <w:rFonts w:hint="eastAsia"/>
                <w:highlight w:val="none"/>
              </w:rPr>
              <w:t>需求</w:t>
            </w:r>
            <w:r>
              <w:rPr>
                <w:rFonts w:hint="eastAsia"/>
                <w:bCs/>
                <w:highlight w:val="none"/>
              </w:rPr>
              <w:t>（实质性条款除外）</w:t>
            </w:r>
            <w:r>
              <w:rPr>
                <w:rFonts w:hint="eastAsia"/>
                <w:highlight w:val="none"/>
              </w:rPr>
              <w:t>的全部内容</w:t>
            </w:r>
          </w:p>
        </w:tc>
        <w:tc>
          <w:tcPr>
            <w:tcW w:w="3587" w:type="dxa"/>
            <w:vAlign w:val="center"/>
          </w:tcPr>
          <w:p>
            <w:pPr>
              <w:tabs>
                <w:tab w:val="clear" w:pos="426"/>
              </w:tabs>
              <w:spacing w:line="240" w:lineRule="auto"/>
              <w:jc w:val="center"/>
              <w:rPr>
                <w:rFonts w:cs="Arial"/>
                <w:highlight w:val="none"/>
              </w:rPr>
            </w:pPr>
            <w:r>
              <w:rPr>
                <w:rFonts w:hint="eastAsia" w:cs="Arial"/>
                <w:highlight w:val="none"/>
              </w:rPr>
              <w:t>完全满足谈判文件第三章</w:t>
            </w:r>
            <w:r>
              <w:rPr>
                <w:rFonts w:hint="eastAsia"/>
                <w:bCs/>
                <w:highlight w:val="none"/>
              </w:rPr>
              <w:t>项目</w:t>
            </w:r>
            <w:r>
              <w:rPr>
                <w:rFonts w:hint="eastAsia"/>
                <w:highlight w:val="none"/>
              </w:rPr>
              <w:t>需求</w:t>
            </w:r>
            <w:r>
              <w:rPr>
                <w:rFonts w:hint="eastAsia"/>
                <w:bCs/>
                <w:highlight w:val="none"/>
              </w:rPr>
              <w:t>（实质性条款除外）</w:t>
            </w:r>
            <w:r>
              <w:rPr>
                <w:rFonts w:hint="eastAsia"/>
                <w:highlight w:val="none"/>
              </w:rPr>
              <w:t>的全部内容</w:t>
            </w:r>
          </w:p>
        </w:tc>
        <w:tc>
          <w:tcPr>
            <w:tcW w:w="1820" w:type="dxa"/>
            <w:vAlign w:val="center"/>
          </w:tcPr>
          <w:p>
            <w:pPr>
              <w:tabs>
                <w:tab w:val="clear" w:pos="426"/>
              </w:tabs>
              <w:spacing w:line="240" w:lineRule="auto"/>
              <w:jc w:val="center"/>
              <w:rPr>
                <w:szCs w:val="21"/>
                <w:highlight w:val="none"/>
              </w:rPr>
            </w:pPr>
            <w:r>
              <w:rPr>
                <w:rFonts w:hint="eastAsia" w:cs="Arial"/>
                <w:highlight w:val="none"/>
              </w:rPr>
              <w:t>符合</w:t>
            </w:r>
          </w:p>
        </w:tc>
      </w:tr>
    </w:tbl>
    <w:p>
      <w:pPr>
        <w:tabs>
          <w:tab w:val="clear" w:pos="426"/>
        </w:tabs>
        <w:rPr>
          <w:bCs/>
          <w:highlight w:val="none"/>
        </w:rPr>
      </w:pPr>
    </w:p>
    <w:p>
      <w:pPr>
        <w:tabs>
          <w:tab w:val="clear" w:pos="426"/>
        </w:tabs>
        <w:ind w:firstLine="424" w:firstLineChars="202"/>
        <w:rPr>
          <w:bCs/>
          <w:highlight w:val="none"/>
        </w:rPr>
      </w:pPr>
      <w:r>
        <w:rPr>
          <w:rFonts w:hint="eastAsia"/>
          <w:bCs/>
          <w:highlight w:val="none"/>
        </w:rPr>
        <w:t>（二）对《项目需求响应表》的补充说明</w:t>
      </w:r>
    </w:p>
    <w:p>
      <w:pPr>
        <w:tabs>
          <w:tab w:val="clear" w:pos="426"/>
        </w:tabs>
        <w:ind w:firstLine="424" w:firstLineChars="202"/>
        <w:rPr>
          <w:bCs/>
          <w:highlight w:val="none"/>
        </w:rPr>
      </w:pPr>
      <w:r>
        <w:rPr>
          <w:rFonts w:hint="eastAsia"/>
          <w:bCs/>
          <w:highlight w:val="none"/>
        </w:rPr>
        <w:t>填写表中“偏离说明”一栏的未尽内容（例如：偏离原因、解决方案等）及谈判应答供应商认为需要补充说明的其他内容，格式自定。</w:t>
      </w:r>
    </w:p>
    <w:p>
      <w:pPr>
        <w:tabs>
          <w:tab w:val="clear" w:pos="426"/>
        </w:tabs>
        <w:rPr>
          <w:bCs/>
          <w:highlight w:val="none"/>
        </w:rPr>
      </w:pPr>
    </w:p>
    <w:p>
      <w:pPr>
        <w:tabs>
          <w:tab w:val="clear" w:pos="426"/>
        </w:tabs>
        <w:rPr>
          <w:bCs/>
          <w:highlight w:val="none"/>
        </w:rPr>
      </w:pPr>
    </w:p>
    <w:p>
      <w:pPr>
        <w:tabs>
          <w:tab w:val="clear" w:pos="426"/>
        </w:tabs>
        <w:spacing w:line="500" w:lineRule="exact"/>
        <w:rPr>
          <w:highlight w:val="none"/>
          <w:u w:val="none"/>
        </w:rPr>
      </w:pPr>
      <w:r>
        <w:rPr>
          <w:rFonts w:hint="eastAsia"/>
          <w:spacing w:val="4"/>
          <w:highlight w:val="none"/>
        </w:rPr>
        <w:t>谈判应答供应商名称（</w:t>
      </w:r>
      <w:r>
        <w:rPr>
          <w:rFonts w:hint="eastAsia"/>
          <w:highlight w:val="none"/>
        </w:rPr>
        <w:t>单位盖</w:t>
      </w:r>
      <w:r>
        <w:rPr>
          <w:rFonts w:hint="eastAsia"/>
          <w:spacing w:val="4"/>
          <w:highlight w:val="none"/>
        </w:rPr>
        <w:t>公章）</w:t>
      </w:r>
      <w:r>
        <w:rPr>
          <w:rFonts w:hint="eastAsia"/>
          <w:spacing w:val="4"/>
          <w:highlight w:val="none"/>
          <w:u w:val="none"/>
        </w:rPr>
        <w:t>：__________________________________________________</w:t>
      </w:r>
    </w:p>
    <w:p>
      <w:pPr>
        <w:tabs>
          <w:tab w:val="clear" w:pos="426"/>
        </w:tabs>
        <w:spacing w:line="520" w:lineRule="exact"/>
        <w:rPr>
          <w:highlight w:val="none"/>
          <w:u w:val="none"/>
        </w:rPr>
      </w:pPr>
    </w:p>
    <w:p>
      <w:pPr>
        <w:tabs>
          <w:tab w:val="clear" w:pos="426"/>
        </w:tabs>
        <w:spacing w:line="520" w:lineRule="exact"/>
        <w:rPr>
          <w:spacing w:val="4"/>
          <w:highlight w:val="none"/>
          <w:u w:val="none"/>
        </w:rPr>
      </w:pPr>
      <w:r>
        <w:rPr>
          <w:rFonts w:hint="eastAsia"/>
          <w:highlight w:val="none"/>
          <w:u w:val="none"/>
        </w:rPr>
        <w:t>法定代表人或谈判应答供应商授权代表（签名或盖章）：</w:t>
      </w:r>
      <w:r>
        <w:rPr>
          <w:spacing w:val="4"/>
          <w:highlight w:val="none"/>
          <w:u w:val="none"/>
        </w:rPr>
        <w:t xml:space="preserve">__________ </w:t>
      </w:r>
      <w:r>
        <w:rPr>
          <w:rFonts w:hint="eastAsia"/>
          <w:spacing w:val="4"/>
          <w:highlight w:val="none"/>
          <w:u w:val="none"/>
        </w:rPr>
        <w:t>职务：</w:t>
      </w:r>
      <w:r>
        <w:rPr>
          <w:spacing w:val="4"/>
          <w:highlight w:val="none"/>
          <w:u w:val="none"/>
        </w:rPr>
        <w:t xml:space="preserve">_______ </w:t>
      </w:r>
      <w:r>
        <w:rPr>
          <w:rFonts w:hint="eastAsia"/>
          <w:spacing w:val="4"/>
          <w:highlight w:val="none"/>
          <w:u w:val="none"/>
        </w:rPr>
        <w:t>日期</w:t>
      </w:r>
      <w:r>
        <w:rPr>
          <w:spacing w:val="4"/>
          <w:highlight w:val="none"/>
          <w:u w:val="none"/>
        </w:rPr>
        <w:t>_______</w:t>
      </w:r>
    </w:p>
    <w:p>
      <w:pPr>
        <w:tabs>
          <w:tab w:val="clear" w:pos="426"/>
        </w:tabs>
        <w:ind w:firstLine="420"/>
        <w:rPr>
          <w:highlight w:val="none"/>
          <w:u w:val="single"/>
        </w:rPr>
      </w:pPr>
    </w:p>
    <w:p>
      <w:pPr>
        <w:tabs>
          <w:tab w:val="clear" w:pos="426"/>
        </w:tabs>
        <w:rPr>
          <w:bCs/>
          <w:highlight w:val="none"/>
        </w:rPr>
      </w:pPr>
    </w:p>
    <w:p>
      <w:pPr>
        <w:tabs>
          <w:tab w:val="clear" w:pos="426"/>
        </w:tabs>
        <w:rPr>
          <w:bCs/>
          <w:highlight w:val="none"/>
        </w:rPr>
      </w:pPr>
      <w:r>
        <w:rPr>
          <w:rFonts w:hint="eastAsia"/>
          <w:bCs/>
          <w:highlight w:val="none"/>
        </w:rPr>
        <w:t>填写说明：</w:t>
      </w:r>
    </w:p>
    <w:p>
      <w:pPr>
        <w:tabs>
          <w:tab w:val="clear" w:pos="426"/>
        </w:tabs>
        <w:ind w:firstLine="420" w:firstLineChars="200"/>
        <w:rPr>
          <w:bCs/>
          <w:highlight w:val="none"/>
        </w:rPr>
      </w:pPr>
      <w:r>
        <w:rPr>
          <w:rFonts w:hint="eastAsia"/>
          <w:bCs/>
          <w:highlight w:val="none"/>
        </w:rPr>
        <w:t>1.上述表格，若谈判应答供应商项目需求条款无偏离，“谈判文件要求”栏填写“</w:t>
      </w:r>
      <w:r>
        <w:rPr>
          <w:rFonts w:hint="eastAsia" w:cs="Arial"/>
          <w:highlight w:val="none"/>
        </w:rPr>
        <w:t>谈判文件第三章</w:t>
      </w:r>
      <w:r>
        <w:rPr>
          <w:rFonts w:hint="eastAsia"/>
          <w:bCs/>
          <w:highlight w:val="none"/>
        </w:rPr>
        <w:t>项目</w:t>
      </w:r>
      <w:r>
        <w:rPr>
          <w:rFonts w:hint="eastAsia"/>
          <w:highlight w:val="none"/>
        </w:rPr>
        <w:t>需求</w:t>
      </w:r>
      <w:r>
        <w:rPr>
          <w:rFonts w:hint="eastAsia"/>
          <w:bCs/>
          <w:highlight w:val="none"/>
        </w:rPr>
        <w:t>（实质性条款除外）</w:t>
      </w:r>
      <w:r>
        <w:rPr>
          <w:rFonts w:hint="eastAsia"/>
          <w:highlight w:val="none"/>
        </w:rPr>
        <w:t>的全部内容</w:t>
      </w:r>
      <w:r>
        <w:rPr>
          <w:rFonts w:hint="eastAsia"/>
          <w:bCs/>
          <w:highlight w:val="none"/>
        </w:rPr>
        <w:t>”、“谈判应答文件响应”栏填写“</w:t>
      </w:r>
      <w:r>
        <w:rPr>
          <w:rFonts w:hint="eastAsia" w:cs="Arial"/>
          <w:highlight w:val="none"/>
        </w:rPr>
        <w:t>完全满足谈判文件第三章</w:t>
      </w:r>
      <w:r>
        <w:rPr>
          <w:rFonts w:hint="eastAsia"/>
          <w:bCs/>
          <w:highlight w:val="none"/>
        </w:rPr>
        <w:t>项目</w:t>
      </w:r>
      <w:r>
        <w:rPr>
          <w:rFonts w:hint="eastAsia"/>
          <w:highlight w:val="none"/>
        </w:rPr>
        <w:t>需求</w:t>
      </w:r>
      <w:r>
        <w:rPr>
          <w:rFonts w:hint="eastAsia"/>
          <w:bCs/>
          <w:highlight w:val="none"/>
        </w:rPr>
        <w:t>（实质性条款除外）</w:t>
      </w:r>
      <w:r>
        <w:rPr>
          <w:rFonts w:hint="eastAsia"/>
          <w:highlight w:val="none"/>
        </w:rPr>
        <w:t>的全部内容</w:t>
      </w:r>
      <w:r>
        <w:rPr>
          <w:rFonts w:hint="eastAsia"/>
          <w:bCs/>
          <w:highlight w:val="none"/>
        </w:rPr>
        <w:t>”即可。</w:t>
      </w:r>
    </w:p>
    <w:p>
      <w:pPr>
        <w:tabs>
          <w:tab w:val="clear" w:pos="426"/>
        </w:tabs>
        <w:ind w:firstLine="420" w:firstLineChars="200"/>
        <w:rPr>
          <w:bCs/>
          <w:highlight w:val="none"/>
        </w:rPr>
      </w:pPr>
      <w:r>
        <w:rPr>
          <w:rFonts w:hint="eastAsia"/>
          <w:bCs/>
          <w:highlight w:val="none"/>
        </w:rPr>
        <w:t>2.若响应情况优于招标要求，应作详细说明。“偏离情况”栏中根据响应情况填写，达到要求的填“</w:t>
      </w:r>
      <w:r>
        <w:rPr>
          <w:rFonts w:hint="eastAsia" w:cs="Arial"/>
          <w:bCs/>
          <w:highlight w:val="none"/>
        </w:rPr>
        <w:t>符合</w:t>
      </w:r>
      <w:r>
        <w:rPr>
          <w:rFonts w:hint="eastAsia"/>
          <w:bCs/>
          <w:highlight w:val="none"/>
        </w:rPr>
        <w:t>”，优于要求的填“</w:t>
      </w:r>
      <w:r>
        <w:rPr>
          <w:rFonts w:hint="eastAsia" w:cs="Arial"/>
          <w:bCs/>
          <w:highlight w:val="none"/>
        </w:rPr>
        <w:t>正偏离</w:t>
      </w:r>
      <w:r>
        <w:rPr>
          <w:rFonts w:hint="eastAsia"/>
          <w:bCs/>
          <w:highlight w:val="none"/>
        </w:rPr>
        <w:t>”没有达到要求的填“</w:t>
      </w:r>
      <w:r>
        <w:rPr>
          <w:rFonts w:hint="eastAsia" w:cs="Arial"/>
          <w:bCs/>
          <w:highlight w:val="none"/>
        </w:rPr>
        <w:t>负偏离</w:t>
      </w:r>
      <w:r>
        <w:rPr>
          <w:rFonts w:hint="eastAsia"/>
          <w:bCs/>
          <w:highlight w:val="none"/>
        </w:rPr>
        <w:t>”。</w:t>
      </w:r>
    </w:p>
    <w:p>
      <w:pPr>
        <w:tabs>
          <w:tab w:val="clear" w:pos="426"/>
        </w:tabs>
        <w:ind w:right="84" w:rightChars="40" w:firstLine="420" w:firstLineChars="200"/>
        <w:rPr>
          <w:bCs/>
          <w:highlight w:val="none"/>
        </w:rPr>
      </w:pPr>
      <w:r>
        <w:rPr>
          <w:rFonts w:hint="eastAsia"/>
          <w:bCs/>
          <w:highlight w:val="none"/>
        </w:rPr>
        <w:t>3.若谈判文件项目需求要求提供证明材料 谈判应答供应商必须按谈判文件要求附相关证明文件，如未提供相关证明文件的视为负偏离。</w:t>
      </w:r>
    </w:p>
    <w:p>
      <w:pPr>
        <w:tabs>
          <w:tab w:val="clear" w:pos="426"/>
        </w:tabs>
        <w:ind w:right="84" w:rightChars="40" w:firstLine="420" w:firstLineChars="200"/>
        <w:rPr>
          <w:bCs/>
          <w:highlight w:val="none"/>
        </w:rPr>
      </w:pPr>
      <w:r>
        <w:rPr>
          <w:rFonts w:hint="eastAsia"/>
          <w:bCs/>
          <w:highlight w:val="none"/>
        </w:rPr>
        <w:t>4.本偏离表负偏离不得导致谈判应答无效。</w:t>
      </w:r>
    </w:p>
    <w:p>
      <w:pPr>
        <w:rPr>
          <w:rFonts w:hint="eastAsia"/>
          <w:b/>
          <w:sz w:val="24"/>
          <w:highlight w:val="none"/>
        </w:rPr>
      </w:pPr>
      <w:r>
        <w:rPr>
          <w:rFonts w:hint="eastAsia"/>
          <w:b/>
          <w:sz w:val="24"/>
          <w:highlight w:val="none"/>
        </w:rPr>
        <w:br w:type="page"/>
      </w:r>
    </w:p>
    <w:p>
      <w:pPr>
        <w:shd w:val="clear" w:color="auto" w:fill="FFFFFF"/>
        <w:tabs>
          <w:tab w:val="clear" w:pos="426"/>
        </w:tabs>
        <w:adjustRightInd/>
        <w:snapToGrid/>
        <w:spacing w:before="280" w:after="290" w:line="377" w:lineRule="auto"/>
        <w:outlineLvl w:val="2"/>
        <w:rPr>
          <w:rFonts w:hint="eastAsia"/>
          <w:b/>
          <w:sz w:val="24"/>
          <w:highlight w:val="none"/>
        </w:rPr>
      </w:pPr>
      <w:r>
        <w:rPr>
          <w:rFonts w:hint="eastAsia"/>
          <w:b/>
          <w:sz w:val="24"/>
          <w:highlight w:val="none"/>
          <w:lang w:val="en-US" w:eastAsia="zh-CN"/>
        </w:rPr>
        <w:t>九、</w:t>
      </w:r>
      <w:r>
        <w:rPr>
          <w:rFonts w:hint="eastAsia"/>
          <w:b/>
          <w:sz w:val="24"/>
          <w:highlight w:val="none"/>
        </w:rPr>
        <w:t>技术保障措施</w:t>
      </w:r>
      <w:r>
        <w:rPr>
          <w:rFonts w:hint="eastAsia"/>
          <w:b/>
          <w:sz w:val="24"/>
          <w:highlight w:val="none"/>
          <w:lang w:eastAsia="zh-CN"/>
        </w:rPr>
        <w:t>（</w:t>
      </w:r>
      <w:r>
        <w:rPr>
          <w:rFonts w:hint="eastAsia"/>
          <w:b/>
          <w:sz w:val="24"/>
          <w:highlight w:val="none"/>
          <w:lang w:val="en-US" w:eastAsia="zh-CN"/>
        </w:rPr>
        <w:t>格式自定</w:t>
      </w:r>
      <w:r>
        <w:rPr>
          <w:rFonts w:hint="eastAsia"/>
          <w:b/>
          <w:sz w:val="24"/>
          <w:highlight w:val="none"/>
          <w:lang w:eastAsia="zh-CN"/>
        </w:rPr>
        <w:t>）</w:t>
      </w:r>
    </w:p>
    <w:p>
      <w:pPr>
        <w:rPr>
          <w:rFonts w:hint="eastAsia"/>
          <w:b/>
          <w:sz w:val="24"/>
          <w:highlight w:val="none"/>
          <w:lang w:val="en-US" w:eastAsia="zh-CN"/>
        </w:rPr>
      </w:pPr>
      <w:r>
        <w:rPr>
          <w:rFonts w:hint="eastAsia"/>
          <w:b/>
          <w:sz w:val="24"/>
          <w:highlight w:val="none"/>
          <w:lang w:val="en-US" w:eastAsia="zh-CN"/>
        </w:rPr>
        <w:br w:type="page"/>
      </w:r>
    </w:p>
    <w:p>
      <w:pPr>
        <w:shd w:val="clear" w:color="auto" w:fill="FFFFFF"/>
        <w:tabs>
          <w:tab w:val="clear" w:pos="426"/>
        </w:tabs>
        <w:adjustRightInd/>
        <w:snapToGrid/>
        <w:spacing w:before="280" w:after="290" w:line="377" w:lineRule="auto"/>
        <w:outlineLvl w:val="2"/>
        <w:rPr>
          <w:rFonts w:hint="eastAsia"/>
          <w:b/>
          <w:sz w:val="24"/>
          <w:highlight w:val="none"/>
        </w:rPr>
      </w:pPr>
      <w:r>
        <w:rPr>
          <w:rFonts w:hint="eastAsia"/>
          <w:b/>
          <w:sz w:val="24"/>
          <w:highlight w:val="none"/>
          <w:lang w:val="en-US" w:eastAsia="zh-CN"/>
        </w:rPr>
        <w:t>十、</w:t>
      </w:r>
      <w:r>
        <w:rPr>
          <w:rFonts w:hint="eastAsia"/>
          <w:b/>
          <w:sz w:val="24"/>
          <w:highlight w:val="none"/>
        </w:rPr>
        <w:t>项目实施方案</w:t>
      </w:r>
      <w:r>
        <w:rPr>
          <w:rFonts w:hint="eastAsia"/>
          <w:b/>
          <w:sz w:val="24"/>
          <w:highlight w:val="none"/>
          <w:lang w:eastAsia="zh-CN"/>
        </w:rPr>
        <w:t>（</w:t>
      </w:r>
      <w:r>
        <w:rPr>
          <w:rFonts w:hint="eastAsia"/>
          <w:b/>
          <w:sz w:val="24"/>
          <w:highlight w:val="none"/>
          <w:lang w:val="en-US" w:eastAsia="zh-CN"/>
        </w:rPr>
        <w:t>格式自定</w:t>
      </w:r>
      <w:r>
        <w:rPr>
          <w:rFonts w:hint="eastAsia"/>
          <w:b/>
          <w:sz w:val="24"/>
          <w:highlight w:val="none"/>
          <w:lang w:eastAsia="zh-CN"/>
        </w:rPr>
        <w:t>）</w:t>
      </w:r>
    </w:p>
    <w:p>
      <w:pPr>
        <w:rPr>
          <w:rFonts w:hint="eastAsia"/>
          <w:b/>
          <w:sz w:val="24"/>
          <w:highlight w:val="none"/>
          <w:lang w:val="en-US" w:eastAsia="zh-CN"/>
        </w:rPr>
      </w:pPr>
      <w:r>
        <w:rPr>
          <w:rFonts w:hint="eastAsia"/>
          <w:b/>
          <w:sz w:val="24"/>
          <w:highlight w:val="none"/>
          <w:lang w:val="en-US" w:eastAsia="zh-CN"/>
        </w:rPr>
        <w:br w:type="page"/>
      </w:r>
    </w:p>
    <w:p>
      <w:pPr>
        <w:shd w:val="clear" w:color="auto" w:fill="FFFFFF"/>
        <w:tabs>
          <w:tab w:val="clear" w:pos="426"/>
        </w:tabs>
        <w:adjustRightInd/>
        <w:snapToGrid/>
        <w:spacing w:before="280" w:after="290" w:line="377" w:lineRule="auto"/>
        <w:outlineLvl w:val="2"/>
        <w:rPr>
          <w:rFonts w:hint="eastAsia"/>
          <w:b/>
          <w:sz w:val="24"/>
          <w:highlight w:val="none"/>
        </w:rPr>
      </w:pPr>
      <w:r>
        <w:rPr>
          <w:rFonts w:hint="eastAsia"/>
          <w:b/>
          <w:sz w:val="24"/>
          <w:highlight w:val="none"/>
          <w:lang w:val="en-US" w:eastAsia="zh-CN"/>
        </w:rPr>
        <w:t>十一、</w:t>
      </w:r>
      <w:r>
        <w:rPr>
          <w:rFonts w:hint="eastAsia"/>
          <w:b/>
          <w:sz w:val="24"/>
          <w:highlight w:val="none"/>
        </w:rPr>
        <w:t>售后服务方案</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售后服务方案</w:t>
      </w:r>
    </w:p>
    <w:p>
      <w:pPr>
        <w:tabs>
          <w:tab w:val="clear" w:pos="426"/>
        </w:tabs>
        <w:rPr>
          <w:highlight w:val="none"/>
        </w:rPr>
      </w:pPr>
    </w:p>
    <w:p>
      <w:pPr>
        <w:tabs>
          <w:tab w:val="clear" w:pos="426"/>
        </w:tabs>
        <w:jc w:val="left"/>
        <w:rPr>
          <w:rFonts w:hint="default" w:eastAsia="宋体"/>
          <w:sz w:val="24"/>
          <w:highlight w:val="none"/>
          <w:u w:val="single"/>
          <w:lang w:val="en-US" w:eastAsia="zh-CN"/>
        </w:rPr>
      </w:pPr>
      <w:r>
        <w:rPr>
          <w:rFonts w:hint="eastAsia"/>
          <w:highlight w:val="none"/>
        </w:rPr>
        <w:t>项目名称：</w:t>
      </w:r>
      <w:r>
        <w:rPr>
          <w:rFonts w:hint="eastAsia" w:ascii="Times New Roman" w:hAnsi="Times New Roman" w:cs="Times New Roman"/>
          <w:kern w:val="2"/>
          <w:szCs w:val="20"/>
          <w:highlight w:val="none"/>
          <w:u w:val="single"/>
        </w:rPr>
        <w:t xml:space="preserve">车辆租赁服务项目        </w:t>
      </w:r>
      <w:r>
        <w:rPr>
          <w:rFonts w:ascii="Times New Roman" w:hAnsi="Times New Roman" w:cs="Times New Roman"/>
          <w:kern w:val="2"/>
          <w:szCs w:val="20"/>
          <w:highlight w:val="none"/>
        </w:rPr>
        <w:t xml:space="preserve">           </w:t>
      </w:r>
      <w:r>
        <w:rPr>
          <w:rFonts w:hint="eastAsia"/>
          <w:highlight w:val="none"/>
        </w:rPr>
        <w:t>采购项目编号：</w:t>
      </w:r>
      <w:r>
        <w:rPr>
          <w:rFonts w:hint="eastAsia"/>
          <w:szCs w:val="21"/>
          <w:highlight w:val="none"/>
          <w:u w:val="single"/>
        </w:rPr>
        <w:t xml:space="preserve">           </w:t>
      </w:r>
      <w:r>
        <w:rPr>
          <w:rFonts w:hint="eastAsia"/>
          <w:szCs w:val="21"/>
          <w:highlight w:val="none"/>
          <w:u w:val="single"/>
          <w:lang w:val="en-US" w:eastAsia="zh-CN"/>
        </w:rPr>
        <w:t xml:space="preserve">      </w:t>
      </w:r>
    </w:p>
    <w:p>
      <w:pPr>
        <w:tabs>
          <w:tab w:val="clear" w:pos="426"/>
        </w:tabs>
        <w:rPr>
          <w:rFonts w:cs="Arial"/>
          <w:bCs/>
          <w:szCs w:val="21"/>
          <w:highlight w:val="none"/>
        </w:rPr>
      </w:pPr>
      <w:r>
        <w:rPr>
          <w:rFonts w:hint="eastAsia" w:cs="Arial"/>
          <w:bCs/>
          <w:szCs w:val="21"/>
          <w:highlight w:val="none"/>
        </w:rPr>
        <w:t>主要内容应包括（可根据项目实际情况适当调整内容）</w:t>
      </w:r>
    </w:p>
    <w:p>
      <w:pPr>
        <w:rPr>
          <w:b/>
          <w:sz w:val="24"/>
          <w:highlight w:val="none"/>
        </w:rPr>
      </w:pPr>
      <w:r>
        <w:rPr>
          <w:rFonts w:hint="eastAsia"/>
          <w:b/>
          <w:sz w:val="24"/>
          <w:highlight w:val="none"/>
        </w:rPr>
        <w:br w:type="page"/>
      </w:r>
      <w:r>
        <w:rPr>
          <w:rFonts w:hint="eastAsia"/>
          <w:b/>
          <w:sz w:val="24"/>
          <w:highlight w:val="none"/>
        </w:rPr>
        <w:t>十</w:t>
      </w:r>
      <w:r>
        <w:rPr>
          <w:rFonts w:hint="eastAsia"/>
          <w:b/>
          <w:sz w:val="24"/>
          <w:highlight w:val="none"/>
          <w:lang w:val="en-US" w:eastAsia="zh-CN"/>
        </w:rPr>
        <w:t>二</w:t>
      </w:r>
      <w:r>
        <w:rPr>
          <w:rFonts w:hint="eastAsia"/>
          <w:b/>
          <w:sz w:val="24"/>
          <w:highlight w:val="none"/>
        </w:rPr>
        <w:t>、售后服务方案</w:t>
      </w:r>
    </w:p>
    <w:p>
      <w:pPr>
        <w:tabs>
          <w:tab w:val="clear" w:pos="426"/>
        </w:tabs>
        <w:spacing w:line="440" w:lineRule="exact"/>
        <w:rPr>
          <w:bCs/>
          <w:highlight w:val="none"/>
        </w:rPr>
      </w:pPr>
    </w:p>
    <w:p>
      <w:pPr>
        <w:tabs>
          <w:tab w:val="clear" w:pos="426"/>
        </w:tabs>
        <w:spacing w:line="500" w:lineRule="exact"/>
        <w:rPr>
          <w:sz w:val="24"/>
          <w:highlight w:val="none"/>
        </w:rPr>
      </w:pPr>
    </w:p>
    <w:p>
      <w:pPr>
        <w:tabs>
          <w:tab w:val="clear" w:pos="426"/>
        </w:tabs>
        <w:adjustRightInd/>
        <w:snapToGrid/>
        <w:spacing w:before="280" w:after="290" w:line="377" w:lineRule="auto"/>
        <w:outlineLvl w:val="2"/>
        <w:rPr>
          <w:b/>
          <w:sz w:val="24"/>
          <w:highlight w:val="none"/>
        </w:rPr>
      </w:pPr>
      <w:r>
        <w:rPr>
          <w:highlight w:val="none"/>
        </w:rPr>
        <w:br w:type="page"/>
      </w:r>
      <w:r>
        <w:rPr>
          <w:rFonts w:hint="eastAsia"/>
          <w:b/>
          <w:sz w:val="24"/>
          <w:highlight w:val="none"/>
        </w:rPr>
        <w:t>十</w:t>
      </w:r>
      <w:r>
        <w:rPr>
          <w:rFonts w:hint="eastAsia"/>
          <w:b/>
          <w:sz w:val="24"/>
          <w:highlight w:val="none"/>
          <w:lang w:val="en-US" w:eastAsia="zh-CN"/>
        </w:rPr>
        <w:t>二</w:t>
      </w:r>
      <w:r>
        <w:rPr>
          <w:rFonts w:hint="eastAsia"/>
          <w:b/>
          <w:sz w:val="24"/>
          <w:highlight w:val="none"/>
        </w:rPr>
        <w:t>、采购代理服务费承诺书</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56" w:name="_Toc480756084"/>
      <w:bookmarkStart w:id="57" w:name="_Toc275865624"/>
      <w:bookmarkStart w:id="58" w:name="_Toc480754217"/>
      <w:bookmarkStart w:id="59" w:name="_Toc480755938"/>
      <w:bookmarkStart w:id="60" w:name="_Toc480789488"/>
      <w:r>
        <w:rPr>
          <w:rFonts w:hint="eastAsia" w:cs="Times New Roman"/>
          <w:bCs/>
          <w:kern w:val="2"/>
          <w:sz w:val="32"/>
          <w:szCs w:val="32"/>
          <w:highlight w:val="none"/>
        </w:rPr>
        <w:t>采购代理服务费承诺书</w:t>
      </w:r>
      <w:bookmarkEnd w:id="56"/>
      <w:bookmarkEnd w:id="57"/>
      <w:bookmarkEnd w:id="58"/>
      <w:bookmarkEnd w:id="59"/>
      <w:bookmarkEnd w:id="60"/>
    </w:p>
    <w:p>
      <w:pPr>
        <w:tabs>
          <w:tab w:val="clear" w:pos="426"/>
        </w:tabs>
        <w:adjustRightInd/>
        <w:snapToGrid/>
        <w:rPr>
          <w:b/>
          <w:highlight w:val="none"/>
        </w:rPr>
      </w:pPr>
    </w:p>
    <w:p>
      <w:pPr>
        <w:tabs>
          <w:tab w:val="clear" w:pos="426"/>
        </w:tabs>
        <w:adjustRightInd/>
        <w:snapToGrid/>
        <w:rPr>
          <w:b/>
          <w:highlight w:val="none"/>
        </w:rPr>
      </w:pPr>
      <w:r>
        <w:rPr>
          <w:rFonts w:hint="eastAsia"/>
          <w:b/>
          <w:highlight w:val="none"/>
        </w:rPr>
        <w:t>深圳市深水水务咨询有限公司：</w:t>
      </w:r>
    </w:p>
    <w:p>
      <w:pPr>
        <w:tabs>
          <w:tab w:val="clear" w:pos="426"/>
        </w:tabs>
        <w:adjustRightInd/>
        <w:snapToGrid/>
        <w:ind w:firstLine="420" w:firstLineChars="200"/>
        <w:rPr>
          <w:szCs w:val="21"/>
          <w:highlight w:val="none"/>
          <w:u w:val="none"/>
        </w:rPr>
      </w:pPr>
      <w:r>
        <w:rPr>
          <w:rFonts w:hint="eastAsia"/>
          <w:highlight w:val="none"/>
        </w:rPr>
        <w:t>本公</w:t>
      </w:r>
      <w:r>
        <w:rPr>
          <w:rFonts w:hint="eastAsia"/>
          <w:highlight w:val="none"/>
          <w:u w:val="none"/>
        </w:rPr>
        <w:t>司</w:t>
      </w:r>
      <w:r>
        <w:rPr>
          <w:rFonts w:hint="eastAsia"/>
          <w:highlight w:val="none"/>
          <w:u w:val="single"/>
        </w:rPr>
        <w:t>(谈判应答人名称)</w:t>
      </w:r>
      <w:r>
        <w:rPr>
          <w:rFonts w:hint="eastAsia"/>
          <w:highlight w:val="none"/>
          <w:u w:val="single"/>
          <w:lang w:val="en-US" w:eastAsia="zh-CN"/>
        </w:rPr>
        <w:t xml:space="preserve">  </w:t>
      </w:r>
      <w:r>
        <w:rPr>
          <w:rFonts w:hint="eastAsia"/>
          <w:highlight w:val="none"/>
          <w:u w:val="single"/>
        </w:rPr>
        <w:t>在参加</w:t>
      </w:r>
      <w:r>
        <w:rPr>
          <w:rFonts w:hint="eastAsia" w:ascii="Times New Roman" w:hAnsi="Times New Roman" w:cs="Times New Roman"/>
          <w:kern w:val="2"/>
          <w:szCs w:val="20"/>
          <w:highlight w:val="none"/>
          <w:u w:val="single"/>
        </w:rPr>
        <w:t>车辆租赁服务项目</w:t>
      </w:r>
      <w:r>
        <w:rPr>
          <w:rFonts w:hint="eastAsia" w:ascii="Times New Roman" w:hAnsi="Times New Roman" w:cs="Times New Roman"/>
          <w:kern w:val="2"/>
          <w:szCs w:val="20"/>
          <w:highlight w:val="none"/>
          <w:u w:val="none"/>
        </w:rPr>
        <w:t xml:space="preserve"> </w:t>
      </w:r>
      <w:r>
        <w:rPr>
          <w:rFonts w:hint="eastAsia"/>
          <w:highlight w:val="none"/>
          <w:u w:val="none"/>
        </w:rPr>
        <w:t>(采购项目编号：</w:t>
      </w:r>
      <w:r>
        <w:rPr>
          <w:rFonts w:hint="eastAsia"/>
          <w:szCs w:val="21"/>
          <w:highlight w:val="none"/>
          <w:u w:val="single"/>
        </w:rPr>
        <w:t xml:space="preserve">              </w:t>
      </w:r>
      <w:r>
        <w:rPr>
          <w:rFonts w:hint="eastAsia"/>
          <w:highlight w:val="none"/>
          <w:u w:val="none"/>
        </w:rPr>
        <w:t>)的谈判中如获成交</w:t>
      </w:r>
      <w:r>
        <w:rPr>
          <w:rFonts w:hint="eastAsia"/>
          <w:szCs w:val="21"/>
          <w:highlight w:val="none"/>
          <w:u w:val="none"/>
        </w:rPr>
        <w:t>，我公司保证按照谈判文件</w:t>
      </w:r>
      <w:r>
        <w:rPr>
          <w:rFonts w:hint="eastAsia"/>
          <w:highlight w:val="none"/>
          <w:u w:val="none"/>
        </w:rPr>
        <w:t>的</w:t>
      </w:r>
      <w:r>
        <w:rPr>
          <w:rFonts w:hint="eastAsia"/>
          <w:szCs w:val="21"/>
          <w:highlight w:val="none"/>
          <w:u w:val="none"/>
        </w:rPr>
        <w:t>规定缴纳“采购代理服务费”后，凭领取人身份证复印件并加盖公章领取《成交通知书》。如采用电汇或银行转账，我</w:t>
      </w:r>
      <w:r>
        <w:rPr>
          <w:rFonts w:hint="eastAsia"/>
          <w:highlight w:val="none"/>
          <w:u w:val="none"/>
        </w:rPr>
        <w:t>公</w:t>
      </w:r>
      <w:r>
        <w:rPr>
          <w:rFonts w:hint="eastAsia"/>
          <w:szCs w:val="21"/>
          <w:highlight w:val="none"/>
          <w:u w:val="none"/>
        </w:rPr>
        <w:t>司将同时递交采购代理服务费缴费凭证复印件并加盖公章。</w:t>
      </w:r>
    </w:p>
    <w:p>
      <w:pPr>
        <w:tabs>
          <w:tab w:val="clear" w:pos="426"/>
        </w:tabs>
        <w:adjustRightInd/>
        <w:snapToGrid/>
        <w:ind w:firstLine="420" w:firstLineChars="200"/>
        <w:rPr>
          <w:highlight w:val="none"/>
          <w:u w:val="none"/>
        </w:rPr>
      </w:pPr>
      <w:r>
        <w:rPr>
          <w:rFonts w:hint="eastAsia"/>
          <w:highlight w:val="none"/>
          <w:u w:val="none"/>
        </w:rPr>
        <w:t>如我公司违反上款承诺，愿凭贵公司开出的相关通知，同意（采购代理机构名称）办理支付手续，扣除我公司提交的全部谈判应答保证金，并愿承担由此引起的一切法律责任。</w:t>
      </w:r>
    </w:p>
    <w:p>
      <w:pPr>
        <w:tabs>
          <w:tab w:val="clear" w:pos="426"/>
        </w:tabs>
        <w:adjustRightInd/>
        <w:snapToGrid/>
        <w:ind w:firstLine="420" w:firstLineChars="200"/>
        <w:rPr>
          <w:highlight w:val="none"/>
          <w:u w:val="none"/>
        </w:rPr>
      </w:pPr>
      <w:r>
        <w:rPr>
          <w:rFonts w:hint="eastAsia"/>
          <w:highlight w:val="none"/>
          <w:u w:val="none"/>
        </w:rPr>
        <w:t>特此承诺!</w:t>
      </w:r>
    </w:p>
    <w:p>
      <w:pPr>
        <w:tabs>
          <w:tab w:val="clear" w:pos="426"/>
        </w:tabs>
        <w:spacing w:line="520" w:lineRule="exact"/>
        <w:ind w:left="424" w:leftChars="202"/>
        <w:rPr>
          <w:highlight w:val="none"/>
          <w:u w:val="none"/>
        </w:rPr>
      </w:pPr>
      <w:r>
        <w:rPr>
          <w:rFonts w:hint="eastAsia"/>
          <w:highlight w:val="none"/>
          <w:u w:val="none"/>
        </w:rPr>
        <w:t>谈判应答人名称(盖公章):______________________________________________________</w:t>
      </w:r>
    </w:p>
    <w:p>
      <w:pPr>
        <w:tabs>
          <w:tab w:val="clear" w:pos="426"/>
        </w:tabs>
        <w:spacing w:line="520" w:lineRule="exact"/>
        <w:ind w:left="424" w:leftChars="202"/>
        <w:rPr>
          <w:highlight w:val="none"/>
          <w:u w:val="none"/>
        </w:rPr>
      </w:pPr>
      <w:r>
        <w:rPr>
          <w:rFonts w:hint="eastAsia"/>
          <w:highlight w:val="none"/>
          <w:u w:val="none"/>
        </w:rPr>
        <w:t>谈判应答人地址:______________________________________________________________</w:t>
      </w:r>
    </w:p>
    <w:p>
      <w:pPr>
        <w:tabs>
          <w:tab w:val="clear" w:pos="426"/>
        </w:tabs>
        <w:spacing w:line="520" w:lineRule="exact"/>
        <w:ind w:left="424" w:leftChars="202"/>
        <w:rPr>
          <w:highlight w:val="none"/>
          <w:u w:val="none"/>
        </w:rPr>
      </w:pPr>
      <w:r>
        <w:rPr>
          <w:rFonts w:hint="eastAsia"/>
          <w:highlight w:val="none"/>
          <w:u w:val="none"/>
        </w:rPr>
        <w:t>电话:____________________________________________________________________</w:t>
      </w:r>
    </w:p>
    <w:p>
      <w:pPr>
        <w:tabs>
          <w:tab w:val="clear" w:pos="426"/>
        </w:tabs>
        <w:spacing w:line="520" w:lineRule="exact"/>
        <w:ind w:left="424" w:leftChars="202"/>
        <w:rPr>
          <w:highlight w:val="none"/>
          <w:u w:val="none"/>
        </w:rPr>
      </w:pPr>
      <w:r>
        <w:rPr>
          <w:rFonts w:hint="eastAsia"/>
          <w:highlight w:val="none"/>
          <w:u w:val="none"/>
        </w:rPr>
        <w:t>传真:____________________________________________________________________</w:t>
      </w:r>
    </w:p>
    <w:p>
      <w:pPr>
        <w:tabs>
          <w:tab w:val="clear" w:pos="426"/>
        </w:tabs>
        <w:spacing w:line="520" w:lineRule="exact"/>
        <w:ind w:left="424" w:leftChars="202"/>
        <w:rPr>
          <w:highlight w:val="none"/>
          <w:u w:val="none"/>
        </w:rPr>
      </w:pPr>
      <w:r>
        <w:rPr>
          <w:rFonts w:hint="eastAsia"/>
          <w:highlight w:val="none"/>
          <w:u w:val="none"/>
        </w:rPr>
        <w:t>法定代表人或谈判应答人授权代表（签名或盖章）_________________________________</w:t>
      </w:r>
    </w:p>
    <w:p>
      <w:pPr>
        <w:tabs>
          <w:tab w:val="clear" w:pos="426"/>
        </w:tabs>
        <w:spacing w:line="520" w:lineRule="exact"/>
        <w:ind w:left="424" w:leftChars="202"/>
        <w:rPr>
          <w:highlight w:val="none"/>
          <w:u w:val="single"/>
        </w:rPr>
      </w:pPr>
    </w:p>
    <w:p>
      <w:pPr>
        <w:tabs>
          <w:tab w:val="clear" w:pos="426"/>
        </w:tabs>
        <w:spacing w:line="520" w:lineRule="exact"/>
        <w:ind w:left="424" w:leftChars="202"/>
        <w:rPr>
          <w:highlight w:val="none"/>
        </w:rPr>
      </w:pPr>
    </w:p>
    <w:p>
      <w:pPr>
        <w:tabs>
          <w:tab w:val="clear" w:pos="426"/>
        </w:tabs>
        <w:spacing w:line="520" w:lineRule="exact"/>
        <w:ind w:left="424" w:leftChars="202"/>
        <w:rPr>
          <w:highlight w:val="none"/>
        </w:rPr>
      </w:pPr>
    </w:p>
    <w:p>
      <w:pPr>
        <w:tabs>
          <w:tab w:val="clear" w:pos="426"/>
        </w:tabs>
        <w:spacing w:line="520" w:lineRule="exact"/>
        <w:ind w:left="424" w:leftChars="202"/>
        <w:rPr>
          <w:highlight w:val="none"/>
        </w:rPr>
      </w:pP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p>
    <w:p>
      <w:pPr>
        <w:shd w:val="clear" w:color="auto" w:fill="auto"/>
        <w:tabs>
          <w:tab w:val="clear" w:pos="426"/>
        </w:tabs>
        <w:adjustRightInd/>
        <w:snapToGrid/>
        <w:spacing w:line="240" w:lineRule="auto"/>
        <w:jc w:val="left"/>
        <w:rPr>
          <w:rFonts w:cs="Times New Roman"/>
          <w:bCs/>
          <w:kern w:val="2"/>
          <w:sz w:val="32"/>
          <w:szCs w:val="32"/>
          <w:highlight w:val="none"/>
        </w:rPr>
      </w:pPr>
      <w:r>
        <w:rPr>
          <w:rFonts w:cs="Times New Roman"/>
          <w:bCs/>
          <w:kern w:val="2"/>
          <w:sz w:val="32"/>
          <w:szCs w:val="32"/>
          <w:highlight w:val="none"/>
        </w:rPr>
        <w:br w:type="page"/>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采购代理服务费发票开具须知</w:t>
      </w:r>
    </w:p>
    <w:tbl>
      <w:tblPr>
        <w:tblStyle w:val="4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7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59" w:type="dxa"/>
            <w:vAlign w:val="center"/>
          </w:tcPr>
          <w:p>
            <w:pPr>
              <w:tabs>
                <w:tab w:val="clear" w:pos="426"/>
              </w:tabs>
              <w:spacing w:line="520" w:lineRule="exact"/>
              <w:rPr>
                <w:b/>
                <w:highlight w:val="none"/>
              </w:rPr>
            </w:pPr>
            <w:r>
              <w:rPr>
                <w:rFonts w:hint="eastAsia"/>
                <w:b/>
                <w:highlight w:val="none"/>
              </w:rPr>
              <w:t>发票类型</w:t>
            </w:r>
          </w:p>
        </w:tc>
        <w:tc>
          <w:tcPr>
            <w:tcW w:w="7363" w:type="dxa"/>
            <w:vAlign w:val="center"/>
          </w:tcPr>
          <w:p>
            <w:pPr>
              <w:tabs>
                <w:tab w:val="clear" w:pos="426"/>
              </w:tabs>
              <w:spacing w:line="520" w:lineRule="exact"/>
              <w:ind w:firstLine="420" w:firstLineChars="200"/>
              <w:rPr>
                <w:highlight w:val="none"/>
              </w:rPr>
            </w:pPr>
            <w:r>
              <w:rPr>
                <w:rFonts w:hint="eastAsia"/>
                <w:highlight w:val="none"/>
              </w:rPr>
              <w:t>□增值税普通发票          □增值税专用发票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522" w:type="dxa"/>
            <w:gridSpan w:val="2"/>
            <w:vAlign w:val="center"/>
          </w:tcPr>
          <w:p>
            <w:pPr>
              <w:tabs>
                <w:tab w:val="clear" w:pos="426"/>
              </w:tabs>
              <w:spacing w:line="520" w:lineRule="exact"/>
              <w:rPr>
                <w:highlight w:val="none"/>
              </w:rPr>
            </w:pPr>
            <w:r>
              <w:rPr>
                <w:rFonts w:hint="eastAsia"/>
                <w:highlight w:val="none"/>
              </w:rPr>
              <w:t>如选择增值税专用发票，需提供以下材料，谈判应答时密封于谈判初始报价信封中：</w:t>
            </w:r>
          </w:p>
          <w:p>
            <w:pPr>
              <w:tabs>
                <w:tab w:val="clear" w:pos="426"/>
              </w:tabs>
              <w:spacing w:line="520" w:lineRule="exact"/>
              <w:rPr>
                <w:highlight w:val="none"/>
              </w:rPr>
            </w:pPr>
            <w:r>
              <w:rPr>
                <w:rFonts w:hint="eastAsia"/>
                <w:highlight w:val="none"/>
              </w:rPr>
              <w:t xml:space="preserve">1、营业执照、一般纳税人资格认定税务通知书或其他可证明具有该项资格证明文件的复印件，加盖单位公章； </w:t>
            </w:r>
          </w:p>
          <w:p>
            <w:pPr>
              <w:tabs>
                <w:tab w:val="clear" w:pos="426"/>
              </w:tabs>
              <w:spacing w:line="520" w:lineRule="exact"/>
              <w:rPr>
                <w:highlight w:val="none"/>
              </w:rPr>
            </w:pPr>
            <w:r>
              <w:rPr>
                <w:rFonts w:hint="eastAsia"/>
                <w:highlight w:val="none"/>
              </w:rPr>
              <w:t>2、客户的开票资料（单位名称、纳税人识别号、地址、电话、开户行全称及账号</w:t>
            </w:r>
            <w:r>
              <w:rPr>
                <w:highlight w:val="none"/>
              </w:rPr>
              <w:t>）</w:t>
            </w:r>
            <w:r>
              <w:rPr>
                <w:rFonts w:hint="eastAsia"/>
                <w:highlight w:val="none"/>
              </w:rPr>
              <w:t>，加盖单位公章。</w:t>
            </w:r>
          </w:p>
        </w:tc>
      </w:tr>
    </w:tbl>
    <w:p>
      <w:pPr>
        <w:tabs>
          <w:tab w:val="clear" w:pos="426"/>
        </w:tabs>
        <w:rPr>
          <w:b/>
          <w:szCs w:val="21"/>
          <w:highlight w:val="none"/>
        </w:rPr>
      </w:pPr>
    </w:p>
    <w:p>
      <w:pPr>
        <w:tabs>
          <w:tab w:val="clear" w:pos="426"/>
        </w:tabs>
        <w:rPr>
          <w:b/>
          <w:szCs w:val="21"/>
          <w:highlight w:val="none"/>
        </w:rPr>
      </w:pPr>
    </w:p>
    <w:p>
      <w:pPr>
        <w:tabs>
          <w:tab w:val="clear" w:pos="426"/>
        </w:tabs>
        <w:jc w:val="center"/>
        <w:rPr>
          <w:b/>
          <w:szCs w:val="21"/>
          <w:highlight w:val="none"/>
        </w:rPr>
      </w:pPr>
      <w:r>
        <w:rPr>
          <w:rFonts w:hint="eastAsia"/>
          <w:b/>
          <w:szCs w:val="21"/>
          <w:highlight w:val="none"/>
        </w:rPr>
        <w:t>附：缴纳</w:t>
      </w:r>
      <w:r>
        <w:rPr>
          <w:b/>
          <w:szCs w:val="21"/>
          <w:highlight w:val="none"/>
        </w:rPr>
        <w:t>采购代理服务费</w:t>
      </w:r>
      <w:r>
        <w:rPr>
          <w:rFonts w:hint="eastAsia"/>
          <w:b/>
          <w:szCs w:val="21"/>
          <w:highlight w:val="none"/>
        </w:rPr>
        <w:t>账号</w:t>
      </w:r>
      <w:r>
        <w:rPr>
          <w:b/>
          <w:szCs w:val="21"/>
          <w:highlight w:val="none"/>
        </w:rPr>
        <w:t>：</w:t>
      </w:r>
    </w:p>
    <w:tbl>
      <w:tblPr>
        <w:tblStyle w:val="44"/>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55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szCs w:val="21"/>
                <w:highlight w:val="none"/>
              </w:rPr>
            </w:pPr>
            <w:r>
              <w:rPr>
                <w:b/>
                <w:szCs w:val="21"/>
                <w:highlight w:val="none"/>
              </w:rPr>
              <w:t>收款人名称</w:t>
            </w:r>
          </w:p>
        </w:tc>
        <w:tc>
          <w:tcPr>
            <w:tcW w:w="5579" w:type="dxa"/>
            <w:vAlign w:val="center"/>
          </w:tcPr>
          <w:p>
            <w:pPr>
              <w:tabs>
                <w:tab w:val="clear" w:pos="426"/>
              </w:tabs>
              <w:spacing w:line="240" w:lineRule="auto"/>
              <w:jc w:val="center"/>
              <w:rPr>
                <w:szCs w:val="21"/>
                <w:highlight w:val="none"/>
              </w:rPr>
            </w:pPr>
            <w:r>
              <w:rPr>
                <w:rFonts w:hint="eastAsia"/>
                <w:szCs w:val="21"/>
                <w:highlight w:val="none"/>
              </w:rPr>
              <w:t>深圳市深水水务咨询有限公司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szCs w:val="21"/>
                <w:highlight w:val="none"/>
              </w:rPr>
            </w:pPr>
            <w:r>
              <w:rPr>
                <w:b/>
                <w:szCs w:val="21"/>
                <w:highlight w:val="none"/>
              </w:rPr>
              <w:t>开户银行</w:t>
            </w:r>
          </w:p>
        </w:tc>
        <w:tc>
          <w:tcPr>
            <w:tcW w:w="5579" w:type="dxa"/>
            <w:vAlign w:val="center"/>
          </w:tcPr>
          <w:p>
            <w:pPr>
              <w:tabs>
                <w:tab w:val="clear" w:pos="426"/>
              </w:tabs>
              <w:spacing w:line="240" w:lineRule="auto"/>
              <w:jc w:val="center"/>
              <w:rPr>
                <w:b/>
                <w:szCs w:val="21"/>
                <w:highlight w:val="none"/>
              </w:rPr>
            </w:pPr>
            <w:r>
              <w:rPr>
                <w:rFonts w:hint="eastAsia"/>
                <w:highlight w:val="none"/>
              </w:rPr>
              <w:t>交通银行深圳金叶支行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szCs w:val="21"/>
                <w:highlight w:val="none"/>
              </w:rPr>
            </w:pPr>
            <w:r>
              <w:rPr>
                <w:rFonts w:hint="eastAsia"/>
                <w:b/>
                <w:szCs w:val="21"/>
                <w:highlight w:val="none"/>
              </w:rPr>
              <w:t>账</w:t>
            </w:r>
            <w:r>
              <w:rPr>
                <w:b/>
                <w:szCs w:val="21"/>
                <w:highlight w:val="none"/>
              </w:rPr>
              <w:t xml:space="preserve">    号</w:t>
            </w:r>
          </w:p>
        </w:tc>
        <w:tc>
          <w:tcPr>
            <w:tcW w:w="5579" w:type="dxa"/>
            <w:vAlign w:val="center"/>
          </w:tcPr>
          <w:p>
            <w:pPr>
              <w:tabs>
                <w:tab w:val="clear" w:pos="426"/>
              </w:tabs>
              <w:spacing w:line="240" w:lineRule="auto"/>
              <w:jc w:val="center"/>
              <w:rPr>
                <w:b/>
                <w:szCs w:val="21"/>
                <w:highlight w:val="none"/>
              </w:rPr>
            </w:pPr>
            <w:r>
              <w:rPr>
                <w:rFonts w:hint="eastAsia"/>
                <w:highlight w:val="none"/>
              </w:rPr>
              <w:t>443899991010003343618</w:t>
            </w:r>
          </w:p>
        </w:tc>
      </w:tr>
    </w:tbl>
    <w:p>
      <w:pPr>
        <w:tabs>
          <w:tab w:val="clear" w:pos="426"/>
        </w:tabs>
        <w:rPr>
          <w:rFonts w:cs="Arial"/>
          <w:bCs/>
          <w:sz w:val="24"/>
          <w:highlight w:val="none"/>
        </w:rPr>
      </w:pPr>
    </w:p>
    <w:p>
      <w:pPr>
        <w:tabs>
          <w:tab w:val="clear" w:pos="426"/>
        </w:tabs>
        <w:spacing w:line="500" w:lineRule="exact"/>
        <w:rPr>
          <w:sz w:val="24"/>
          <w:highlight w:val="none"/>
        </w:rPr>
      </w:pPr>
    </w:p>
    <w:bookmarkEnd w:id="52"/>
    <w:bookmarkEnd w:id="53"/>
    <w:bookmarkEnd w:id="54"/>
    <w:bookmarkEnd w:id="55"/>
    <w:p>
      <w:pPr>
        <w:tabs>
          <w:tab w:val="clear" w:pos="426"/>
        </w:tabs>
        <w:adjustRightInd/>
        <w:snapToGrid/>
        <w:spacing w:before="280" w:after="290" w:line="377" w:lineRule="auto"/>
        <w:outlineLvl w:val="2"/>
        <w:rPr>
          <w:b/>
          <w:sz w:val="24"/>
          <w:highlight w:val="none"/>
        </w:rPr>
      </w:pPr>
      <w:r>
        <w:rPr>
          <w:bCs/>
          <w:highlight w:val="none"/>
        </w:rPr>
        <w:br w:type="page"/>
      </w:r>
      <w:r>
        <w:rPr>
          <w:rFonts w:hint="eastAsia"/>
          <w:b/>
          <w:sz w:val="24"/>
          <w:highlight w:val="none"/>
        </w:rPr>
        <w:t>十</w:t>
      </w:r>
      <w:r>
        <w:rPr>
          <w:rFonts w:hint="eastAsia"/>
          <w:b/>
          <w:sz w:val="24"/>
          <w:highlight w:val="none"/>
          <w:lang w:val="en-US" w:eastAsia="zh-CN"/>
        </w:rPr>
        <w:t>三</w:t>
      </w:r>
      <w:r>
        <w:rPr>
          <w:rFonts w:hint="eastAsia"/>
          <w:b/>
          <w:sz w:val="24"/>
          <w:highlight w:val="none"/>
        </w:rPr>
        <w:t>、谈判文件要求的其他内容及谈判应答人认为需要加以说明的其他内容</w:t>
      </w:r>
    </w:p>
    <w:p>
      <w:pPr>
        <w:tabs>
          <w:tab w:val="clear" w:pos="426"/>
        </w:tabs>
        <w:adjustRightInd/>
        <w:snapToGrid/>
        <w:ind w:firstLine="420" w:firstLineChars="200"/>
        <w:rPr>
          <w:highlight w:val="none"/>
        </w:rPr>
      </w:pPr>
      <w:r>
        <w:rPr>
          <w:rFonts w:hint="eastAsia"/>
          <w:highlight w:val="none"/>
        </w:rPr>
        <w:t>提供谈判邀请公告和谈判信息中关于谈判应答人的其他相关证明文件（如谈判信息中涉及的各种证件（身份证除外）、设备发票等，未涉及的可以不提供）。</w:t>
      </w:r>
    </w:p>
    <w:p>
      <w:pPr>
        <w:tabs>
          <w:tab w:val="clear" w:pos="426"/>
        </w:tabs>
        <w:adjustRightInd/>
        <w:snapToGrid/>
        <w:ind w:firstLine="420" w:firstLineChars="200"/>
        <w:rPr>
          <w:highlight w:val="none"/>
        </w:rPr>
      </w:pPr>
    </w:p>
    <w:p>
      <w:pPr>
        <w:tabs>
          <w:tab w:val="clear" w:pos="426"/>
        </w:tabs>
        <w:adjustRightInd/>
        <w:snapToGrid/>
        <w:ind w:firstLine="420" w:firstLineChars="200"/>
        <w:rPr>
          <w:highlight w:val="none"/>
        </w:rPr>
      </w:pPr>
    </w:p>
    <w:p>
      <w:pPr>
        <w:tabs>
          <w:tab w:val="clear" w:pos="426"/>
        </w:tabs>
        <w:adjustRightInd/>
        <w:snapToGrid/>
        <w:ind w:firstLine="420" w:firstLineChars="200"/>
        <w:rPr>
          <w:highlight w:val="none"/>
        </w:rPr>
      </w:pPr>
    </w:p>
    <w:p>
      <w:pPr>
        <w:tabs>
          <w:tab w:val="clear" w:pos="426"/>
        </w:tabs>
        <w:adjustRightInd/>
        <w:snapToGrid/>
        <w:ind w:firstLine="420" w:firstLineChars="200"/>
        <w:rPr>
          <w:highlight w:val="none"/>
        </w:rPr>
      </w:pPr>
    </w:p>
    <w:p>
      <w:pPr>
        <w:tabs>
          <w:tab w:val="clear" w:pos="426"/>
        </w:tabs>
        <w:adjustRightInd/>
        <w:snapToGrid/>
        <w:ind w:firstLine="420" w:firstLineChars="200"/>
        <w:rPr>
          <w:highlight w:val="none"/>
        </w:rPr>
      </w:pPr>
    </w:p>
    <w:p>
      <w:pPr>
        <w:tabs>
          <w:tab w:val="clear" w:pos="426"/>
        </w:tabs>
        <w:adjustRightInd/>
        <w:snapToGrid/>
        <w:ind w:firstLine="420" w:firstLineChars="200"/>
        <w:rPr>
          <w:highlight w:val="none"/>
        </w:rPr>
      </w:pPr>
    </w:p>
    <w:p>
      <w:pPr>
        <w:tabs>
          <w:tab w:val="clear" w:pos="426"/>
        </w:tabs>
        <w:adjustRightInd/>
        <w:snapToGrid/>
        <w:ind w:firstLine="420" w:firstLineChars="200"/>
        <w:rPr>
          <w:highlight w:val="none"/>
        </w:rPr>
      </w:pPr>
    </w:p>
    <w:p>
      <w:pPr>
        <w:tabs>
          <w:tab w:val="clear" w:pos="426"/>
        </w:tabs>
        <w:adjustRightInd/>
        <w:snapToGrid/>
        <w:ind w:firstLine="420" w:firstLineChars="200"/>
        <w:rPr>
          <w:highlight w:val="none"/>
        </w:rPr>
      </w:pPr>
    </w:p>
    <w:p>
      <w:pPr>
        <w:tabs>
          <w:tab w:val="clear" w:pos="426"/>
        </w:tabs>
        <w:adjustRightInd/>
        <w:snapToGrid/>
        <w:ind w:firstLine="420" w:firstLineChars="200"/>
        <w:rPr>
          <w:highlight w:val="none"/>
        </w:rPr>
      </w:pPr>
    </w:p>
    <w:p>
      <w:pPr>
        <w:tabs>
          <w:tab w:val="clear" w:pos="426"/>
        </w:tabs>
        <w:adjustRightInd/>
        <w:snapToGrid/>
        <w:ind w:firstLine="420" w:firstLineChars="200"/>
        <w:rPr>
          <w:highlight w:val="none"/>
        </w:rPr>
      </w:pPr>
    </w:p>
    <w:p>
      <w:pPr>
        <w:tabs>
          <w:tab w:val="clear" w:pos="426"/>
        </w:tabs>
        <w:adjustRightInd/>
        <w:snapToGrid/>
        <w:ind w:firstLine="420" w:firstLineChars="200"/>
        <w:rPr>
          <w:highlight w:val="none"/>
        </w:rPr>
      </w:pPr>
    </w:p>
    <w:p>
      <w:pPr>
        <w:pStyle w:val="42"/>
        <w:tabs>
          <w:tab w:val="clear" w:pos="426"/>
        </w:tabs>
        <w:rPr>
          <w:highlight w:val="none"/>
        </w:rPr>
      </w:pPr>
      <w:bookmarkStart w:id="61" w:name="_Toc398220528"/>
      <w:r>
        <w:rPr>
          <w:highlight w:val="none"/>
        </w:rPr>
        <w:br w:type="page"/>
      </w:r>
      <w:bookmarkStart w:id="62" w:name="_Toc16014"/>
      <w:r>
        <w:rPr>
          <w:rFonts w:hint="eastAsia"/>
          <w:highlight w:val="none"/>
        </w:rPr>
        <w:t xml:space="preserve">第二册 </w:t>
      </w:r>
      <w:r>
        <w:rPr>
          <w:highlight w:val="none"/>
        </w:rPr>
        <w:t xml:space="preserve"> </w:t>
      </w:r>
      <w:r>
        <w:rPr>
          <w:rFonts w:hint="eastAsia"/>
          <w:highlight w:val="none"/>
        </w:rPr>
        <w:t>通用条款</w:t>
      </w:r>
      <w:bookmarkEnd w:id="61"/>
      <w:bookmarkEnd w:id="62"/>
    </w:p>
    <w:p>
      <w:pPr>
        <w:tabs>
          <w:tab w:val="clear" w:pos="426"/>
        </w:tabs>
        <w:jc w:val="center"/>
        <w:rPr>
          <w:b/>
          <w:highlight w:val="none"/>
        </w:rPr>
      </w:pPr>
      <w:bookmarkStart w:id="63" w:name="_Toc432592821"/>
      <w:bookmarkStart w:id="64" w:name="_Toc398220529"/>
      <w:r>
        <w:rPr>
          <w:rFonts w:hint="eastAsia"/>
          <w:b/>
          <w:highlight w:val="none"/>
        </w:rPr>
        <w:t>（供应商须知）</w:t>
      </w:r>
    </w:p>
    <w:p>
      <w:pPr>
        <w:pStyle w:val="5"/>
        <w:tabs>
          <w:tab w:val="clear" w:pos="426"/>
        </w:tabs>
        <w:rPr>
          <w:highlight w:val="none"/>
        </w:rPr>
      </w:pPr>
      <w:bookmarkStart w:id="65" w:name="_Toc30175"/>
      <w:r>
        <w:rPr>
          <w:rFonts w:hint="eastAsia"/>
          <w:highlight w:val="none"/>
        </w:rPr>
        <w:t>第一章 总则</w:t>
      </w:r>
      <w:bookmarkEnd w:id="63"/>
      <w:bookmarkEnd w:id="64"/>
      <w:bookmarkEnd w:id="65"/>
    </w:p>
    <w:p>
      <w:pPr>
        <w:tabs>
          <w:tab w:val="clear" w:pos="426"/>
        </w:tabs>
        <w:rPr>
          <w:highlight w:val="none"/>
        </w:rPr>
      </w:pPr>
      <w:r>
        <w:rPr>
          <w:rFonts w:hint="eastAsia"/>
          <w:highlight w:val="none"/>
        </w:rPr>
        <w:t>1.通用条款说明</w:t>
      </w:r>
    </w:p>
    <w:p>
      <w:pPr>
        <w:tabs>
          <w:tab w:val="clear" w:pos="426"/>
        </w:tabs>
        <w:rPr>
          <w:highlight w:val="none"/>
        </w:rPr>
      </w:pPr>
      <w:r>
        <w:rPr>
          <w:rFonts w:hint="eastAsia"/>
          <w:highlight w:val="none"/>
        </w:rPr>
        <w:t>1.1采购代理机构发出竞争性谈判文件通用条款版本，列出竞争性谈判采购所适用的通用条款内容。如有需要，采购代理机构可以对这些条款增加附录或补充内容。</w:t>
      </w:r>
    </w:p>
    <w:p>
      <w:pPr>
        <w:tabs>
          <w:tab w:val="clear" w:pos="426"/>
        </w:tabs>
        <w:rPr>
          <w:highlight w:val="none"/>
        </w:rPr>
      </w:pPr>
      <w:bookmarkStart w:id="66" w:name="_Toc73517641"/>
      <w:bookmarkStart w:id="67" w:name="_Toc73518119"/>
      <w:bookmarkStart w:id="68" w:name="_Toc73521637"/>
      <w:bookmarkStart w:id="69" w:name="_Toc100052366"/>
      <w:bookmarkStart w:id="70" w:name="_Toc60631622"/>
      <w:bookmarkStart w:id="71" w:name="_Toc60560627"/>
      <w:bookmarkStart w:id="72" w:name="_Toc73521549"/>
      <w:bookmarkStart w:id="73" w:name="_Toc73521639"/>
      <w:bookmarkStart w:id="74" w:name="_Toc73521551"/>
      <w:bookmarkStart w:id="75" w:name="_Toc73518121"/>
      <w:bookmarkStart w:id="76" w:name="_Toc60560629"/>
      <w:bookmarkStart w:id="77" w:name="_Toc60631624"/>
      <w:bookmarkStart w:id="78" w:name="_Toc100052368"/>
      <w:bookmarkStart w:id="79" w:name="_Toc73517643"/>
      <w:r>
        <w:rPr>
          <w:rFonts w:hint="eastAsia"/>
          <w:highlight w:val="none"/>
        </w:rPr>
        <w:t>2</w:t>
      </w:r>
      <w:r>
        <w:rPr>
          <w:highlight w:val="none"/>
        </w:rPr>
        <w:t>.</w:t>
      </w:r>
      <w:r>
        <w:rPr>
          <w:rFonts w:hint="eastAsia"/>
          <w:highlight w:val="none"/>
        </w:rPr>
        <w:t>竞争性谈判说明</w:t>
      </w:r>
      <w:bookmarkEnd w:id="66"/>
      <w:bookmarkEnd w:id="67"/>
      <w:bookmarkEnd w:id="68"/>
      <w:bookmarkEnd w:id="69"/>
      <w:bookmarkEnd w:id="70"/>
      <w:bookmarkEnd w:id="71"/>
      <w:bookmarkEnd w:id="72"/>
    </w:p>
    <w:p>
      <w:pPr>
        <w:tabs>
          <w:tab w:val="clear" w:pos="426"/>
        </w:tabs>
        <w:rPr>
          <w:color w:val="000000"/>
          <w:szCs w:val="21"/>
          <w:highlight w:val="none"/>
        </w:rPr>
      </w:pPr>
      <w:r>
        <w:rPr>
          <w:rFonts w:hint="eastAsia"/>
          <w:highlight w:val="none"/>
        </w:rPr>
        <w:t>本项目按照《政府采购条例》《政府采购条例实施细则》的规定，并参考有关法规、政策、规章、规定通过竞争性谈判择优选定供应商。</w:t>
      </w:r>
      <w:r>
        <w:rPr>
          <w:rFonts w:hint="eastAsia"/>
          <w:color w:val="000000"/>
          <w:szCs w:val="21"/>
          <w:highlight w:val="none"/>
        </w:rPr>
        <w:t>本竞争性谈判文件适用于</w:t>
      </w:r>
      <w:r>
        <w:rPr>
          <w:rFonts w:hint="eastAsia"/>
          <w:szCs w:val="21"/>
          <w:highlight w:val="none"/>
        </w:rPr>
        <w:t>采购公告中所述项目的</w:t>
      </w:r>
      <w:r>
        <w:rPr>
          <w:rFonts w:hint="eastAsia"/>
          <w:color w:val="000000"/>
          <w:szCs w:val="21"/>
          <w:highlight w:val="none"/>
        </w:rPr>
        <w:t>政府采购。</w:t>
      </w:r>
    </w:p>
    <w:p>
      <w:pPr>
        <w:tabs>
          <w:tab w:val="clear" w:pos="426"/>
        </w:tabs>
        <w:rPr>
          <w:color w:val="000000"/>
          <w:szCs w:val="21"/>
          <w:highlight w:val="none"/>
        </w:rPr>
      </w:pPr>
      <w:r>
        <w:rPr>
          <w:rFonts w:hint="eastAsia"/>
          <w:color w:val="000000"/>
          <w:szCs w:val="21"/>
          <w:highlight w:val="none"/>
        </w:rPr>
        <w:t>本竞争性谈判文件的解释权归属深圳市深水水务咨询有限公司。</w:t>
      </w:r>
    </w:p>
    <w:p>
      <w:pPr>
        <w:tabs>
          <w:tab w:val="clear" w:pos="426"/>
        </w:tabs>
        <w:rPr>
          <w:highlight w:val="none"/>
        </w:rPr>
      </w:pPr>
      <w:bookmarkStart w:id="80" w:name="_Toc100052367"/>
      <w:bookmarkStart w:id="81" w:name="_Toc60560628"/>
      <w:bookmarkStart w:id="82" w:name="_Toc73521638"/>
      <w:bookmarkStart w:id="83" w:name="_Toc60631623"/>
      <w:bookmarkStart w:id="84" w:name="_Toc73517642"/>
      <w:bookmarkStart w:id="85" w:name="_Toc73521550"/>
      <w:bookmarkStart w:id="86" w:name="_Toc73518120"/>
      <w:r>
        <w:rPr>
          <w:rFonts w:hint="eastAsia"/>
          <w:highlight w:val="none"/>
        </w:rPr>
        <w:t>3.定义</w:t>
      </w:r>
      <w:bookmarkEnd w:id="80"/>
      <w:bookmarkEnd w:id="81"/>
      <w:bookmarkEnd w:id="82"/>
      <w:bookmarkEnd w:id="83"/>
      <w:bookmarkEnd w:id="84"/>
      <w:bookmarkEnd w:id="85"/>
      <w:bookmarkEnd w:id="86"/>
    </w:p>
    <w:p>
      <w:pPr>
        <w:tabs>
          <w:tab w:val="clear" w:pos="426"/>
        </w:tabs>
        <w:rPr>
          <w:highlight w:val="none"/>
        </w:rPr>
      </w:pPr>
      <w:r>
        <w:rPr>
          <w:highlight w:val="none"/>
        </w:rPr>
        <w:t>竞争性谈判文件中下列术语应解释为：</w:t>
      </w:r>
    </w:p>
    <w:p>
      <w:pPr>
        <w:tabs>
          <w:tab w:val="clear" w:pos="426"/>
        </w:tabs>
        <w:rPr>
          <w:highlight w:val="none"/>
        </w:rPr>
      </w:pPr>
      <w:r>
        <w:rPr>
          <w:rFonts w:hint="eastAsia"/>
          <w:szCs w:val="21"/>
          <w:highlight w:val="none"/>
        </w:rPr>
        <w:t>3.</w:t>
      </w:r>
      <w:r>
        <w:rPr>
          <w:szCs w:val="21"/>
          <w:highlight w:val="none"/>
        </w:rPr>
        <w:t>1</w:t>
      </w:r>
      <w:r>
        <w:rPr>
          <w:rFonts w:hint="eastAsia"/>
          <w:szCs w:val="21"/>
          <w:highlight w:val="none"/>
        </w:rPr>
        <w:t>“采购代理机构”</w:t>
      </w:r>
      <w:r>
        <w:rPr>
          <w:rFonts w:hint="eastAsia"/>
          <w:highlight w:val="none"/>
        </w:rPr>
        <w:t>系指政府设立的负责本级财政性资金的集中采购和竞争性谈判组织工作的专门机构；本项目</w:t>
      </w:r>
      <w:r>
        <w:rPr>
          <w:highlight w:val="none"/>
        </w:rPr>
        <w:t>系指</w:t>
      </w:r>
      <w:r>
        <w:rPr>
          <w:rFonts w:hint="eastAsia"/>
          <w:highlight w:val="none"/>
        </w:rPr>
        <w:t>深圳市深水水务咨询有限公司；</w:t>
      </w:r>
    </w:p>
    <w:p>
      <w:pPr>
        <w:tabs>
          <w:tab w:val="clear" w:pos="426"/>
        </w:tabs>
        <w:rPr>
          <w:highlight w:val="none"/>
        </w:rPr>
      </w:pPr>
      <w:r>
        <w:rPr>
          <w:rFonts w:hint="eastAsia"/>
          <w:highlight w:val="none"/>
        </w:rPr>
        <w:t xml:space="preserve">3.2“采购人”或“采购单位”：系指利用财政性资金依法进行政府采购的国家机关、事业单位、团体组织； </w:t>
      </w:r>
    </w:p>
    <w:p>
      <w:pPr>
        <w:tabs>
          <w:tab w:val="clear" w:pos="426"/>
        </w:tabs>
        <w:rPr>
          <w:highlight w:val="none"/>
        </w:rPr>
      </w:pPr>
      <w:r>
        <w:rPr>
          <w:rFonts w:hint="eastAsia"/>
          <w:highlight w:val="none"/>
        </w:rPr>
        <w:t>3.3“供应商”或“谈判应答方”：系指参加谈判应答竞争并愿意按照竞争性谈判文件要求向采购人提供货物、工程或者服务的依法成立的法人、其他组织或者自然人；</w:t>
      </w:r>
    </w:p>
    <w:p>
      <w:pPr>
        <w:tabs>
          <w:tab w:val="clear" w:pos="426"/>
        </w:tabs>
        <w:rPr>
          <w:highlight w:val="none"/>
        </w:rPr>
      </w:pPr>
      <w:r>
        <w:rPr>
          <w:rFonts w:hint="eastAsia"/>
          <w:highlight w:val="none"/>
        </w:rPr>
        <w:t>3.4“谈判小组”：系是依据《政府采购条例》有关规定组建的专门负责本次竞争性谈判其评标（谈判）工作的临时性机构；</w:t>
      </w:r>
    </w:p>
    <w:p>
      <w:pPr>
        <w:tabs>
          <w:tab w:val="clear" w:pos="426"/>
        </w:tabs>
        <w:rPr>
          <w:highlight w:val="none"/>
        </w:rPr>
      </w:pPr>
      <w:r>
        <w:rPr>
          <w:rFonts w:hint="eastAsia"/>
          <w:highlight w:val="none"/>
        </w:rPr>
        <w:t>3.5“日期”</w:t>
      </w:r>
      <w:r>
        <w:rPr>
          <w:highlight w:val="none"/>
        </w:rPr>
        <w:t>指</w:t>
      </w:r>
      <w:r>
        <w:rPr>
          <w:rFonts w:hint="eastAsia"/>
          <w:highlight w:val="none"/>
        </w:rPr>
        <w:t>公历日；</w:t>
      </w:r>
    </w:p>
    <w:p>
      <w:pPr>
        <w:tabs>
          <w:tab w:val="clear" w:pos="426"/>
        </w:tabs>
        <w:rPr>
          <w:highlight w:val="none"/>
        </w:rPr>
      </w:pPr>
      <w:r>
        <w:rPr>
          <w:rFonts w:hint="eastAsia"/>
          <w:highlight w:val="none"/>
        </w:rPr>
        <w:t>3.6“合同”指由本次竞争性谈判所产生的合同或合约文件；</w:t>
      </w:r>
    </w:p>
    <w:p>
      <w:pPr>
        <w:tabs>
          <w:tab w:val="clear" w:pos="426"/>
        </w:tabs>
        <w:rPr>
          <w:highlight w:val="none"/>
        </w:rPr>
      </w:pPr>
      <w:r>
        <w:rPr>
          <w:rFonts w:hint="eastAsia"/>
          <w:highlight w:val="none"/>
        </w:rPr>
        <w:t>3.7竞争性谈判文件中的标题或题名仅起引导作用，而不应视为对竞争性谈判文件内容的理解和解释。</w:t>
      </w:r>
    </w:p>
    <w:p>
      <w:pPr>
        <w:tabs>
          <w:tab w:val="clear" w:pos="426"/>
        </w:tabs>
        <w:rPr>
          <w:highlight w:val="none"/>
        </w:rPr>
      </w:pPr>
      <w:r>
        <w:rPr>
          <w:rFonts w:hint="eastAsia"/>
          <w:highlight w:val="none"/>
        </w:rPr>
        <w:t>4. 政府采购供应商责任</w:t>
      </w:r>
    </w:p>
    <w:p>
      <w:pPr>
        <w:tabs>
          <w:tab w:val="clear" w:pos="426"/>
        </w:tabs>
        <w:rPr>
          <w:highlight w:val="none"/>
        </w:rPr>
      </w:pPr>
      <w:r>
        <w:rPr>
          <w:rFonts w:hint="eastAsia"/>
          <w:highlight w:val="none"/>
        </w:rPr>
        <w:t>4.1欢迎诚信、有实力和有社会责任心的供应商参与政府采购事业。</w:t>
      </w:r>
    </w:p>
    <w:p>
      <w:pPr>
        <w:tabs>
          <w:tab w:val="clear" w:pos="426"/>
        </w:tabs>
        <w:rPr>
          <w:highlight w:val="none"/>
        </w:rPr>
      </w:pPr>
      <w:r>
        <w:rPr>
          <w:rFonts w:hint="eastAsia"/>
          <w:highlight w:val="none"/>
        </w:rPr>
        <w:t>4.2供应商在政府采购项目谈判应答过程中应诚实守信，不弄虚作假，不隐瞒真实情况，不围标串标，不恶意质疑投诉。如违反上述要求，经核实后，供应商的谈判应答将作废，没收谈判应答保证金，将该供应商列入不良记录名单并在网上曝光，同时提请政府采购监督管理部门给予一定年限内禁止参加政府采购活动的处罚或其他处罚。</w:t>
      </w:r>
    </w:p>
    <w:p>
      <w:pPr>
        <w:tabs>
          <w:tab w:val="clear" w:pos="426"/>
        </w:tabs>
        <w:rPr>
          <w:highlight w:val="none"/>
        </w:rPr>
      </w:pPr>
      <w:r>
        <w:rPr>
          <w:rFonts w:hint="eastAsia"/>
          <w:highlight w:val="none"/>
        </w:rPr>
        <w:t>5.</w:t>
      </w:r>
      <w:bookmarkEnd w:id="73"/>
      <w:bookmarkEnd w:id="74"/>
      <w:bookmarkEnd w:id="75"/>
      <w:bookmarkEnd w:id="76"/>
      <w:bookmarkEnd w:id="77"/>
      <w:bookmarkEnd w:id="78"/>
      <w:bookmarkEnd w:id="79"/>
      <w:r>
        <w:rPr>
          <w:rFonts w:hint="eastAsia"/>
          <w:highlight w:val="none"/>
        </w:rPr>
        <w:t>合格的供应商</w:t>
      </w:r>
    </w:p>
    <w:p>
      <w:pPr>
        <w:widowControl w:val="0"/>
        <w:shd w:val="clear" w:color="auto" w:fill="auto"/>
        <w:tabs>
          <w:tab w:val="clear" w:pos="426"/>
        </w:tabs>
        <w:autoSpaceDE w:val="0"/>
        <w:autoSpaceDN w:val="0"/>
        <w:rPr>
          <w:szCs w:val="21"/>
          <w:highlight w:val="none"/>
        </w:rPr>
      </w:pPr>
      <w:bookmarkStart w:id="87" w:name="_Toc73521641"/>
      <w:bookmarkStart w:id="88" w:name="_Toc73521553"/>
      <w:bookmarkStart w:id="89" w:name="_Toc100052370"/>
      <w:bookmarkStart w:id="90" w:name="_Toc73518123"/>
      <w:bookmarkStart w:id="91" w:name="_Toc73517645"/>
      <w:bookmarkStart w:id="92" w:name="_Toc60631626"/>
      <w:bookmarkStart w:id="93" w:name="_Toc60560631"/>
      <w:r>
        <w:rPr>
          <w:rFonts w:hint="eastAsia"/>
          <w:szCs w:val="21"/>
          <w:highlight w:val="none"/>
        </w:rPr>
        <w:t>5.1 供应商是响应竞争性谈判并且符合竞争性谈判文件规定资格条件和参加谈判应答竞争的法人、其他组织或者自然人。</w:t>
      </w:r>
    </w:p>
    <w:p>
      <w:pPr>
        <w:widowControl w:val="0"/>
        <w:shd w:val="clear" w:color="auto" w:fill="auto"/>
        <w:tabs>
          <w:tab w:val="clear" w:pos="426"/>
        </w:tabs>
        <w:autoSpaceDE w:val="0"/>
        <w:autoSpaceDN w:val="0"/>
        <w:rPr>
          <w:szCs w:val="21"/>
          <w:highlight w:val="none"/>
          <w:lang w:eastAsia="zh-TW"/>
        </w:rPr>
      </w:pPr>
      <w:r>
        <w:rPr>
          <w:rFonts w:hint="eastAsia"/>
          <w:szCs w:val="21"/>
          <w:highlight w:val="none"/>
        </w:rPr>
        <w:t xml:space="preserve">5.2 </w:t>
      </w:r>
      <w:r>
        <w:rPr>
          <w:rFonts w:hint="eastAsia"/>
          <w:szCs w:val="21"/>
          <w:highlight w:val="none"/>
          <w:lang w:eastAsia="zh-TW"/>
        </w:rPr>
        <w:t>合格的供应商</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5.2.1 </w:t>
      </w:r>
      <w:r>
        <w:rPr>
          <w:szCs w:val="21"/>
          <w:highlight w:val="none"/>
        </w:rPr>
        <w:t>具有独立承担民事责任的能力。</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5.2.2 </w:t>
      </w:r>
      <w:r>
        <w:rPr>
          <w:szCs w:val="21"/>
          <w:highlight w:val="none"/>
        </w:rPr>
        <w:t>具有良好的商业信誉和健全的财务会计制度</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5.2.3 </w:t>
      </w:r>
      <w:r>
        <w:rPr>
          <w:szCs w:val="21"/>
          <w:highlight w:val="none"/>
        </w:rPr>
        <w:t>具有履行合同所必需的设备和专业技术能力</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5.2.4 </w:t>
      </w:r>
      <w:r>
        <w:rPr>
          <w:szCs w:val="21"/>
          <w:highlight w:val="none"/>
        </w:rPr>
        <w:t>有依法缴纳税收和社会保障资金的良好记录</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5.2.5 </w:t>
      </w:r>
      <w:r>
        <w:rPr>
          <w:szCs w:val="21"/>
          <w:highlight w:val="none"/>
        </w:rPr>
        <w:t>参加政府采购活动前三年内，在经营活动中没有重大违法记录</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5.2.6 </w:t>
      </w:r>
      <w:r>
        <w:rPr>
          <w:szCs w:val="21"/>
          <w:highlight w:val="none"/>
        </w:rPr>
        <w:t>法律、行政法规规定的其他条件</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5.2.7 只有在法律上和财务上独立、合法运作并独立于采购人和政府采购代理机构的供货商才能参加谈判应答。</w:t>
      </w:r>
    </w:p>
    <w:p>
      <w:pPr>
        <w:widowControl w:val="0"/>
        <w:shd w:val="clear" w:color="auto" w:fill="auto"/>
        <w:tabs>
          <w:tab w:val="clear" w:pos="426"/>
        </w:tabs>
        <w:autoSpaceDE w:val="0"/>
        <w:autoSpaceDN w:val="0"/>
        <w:rPr>
          <w:b/>
          <w:szCs w:val="21"/>
          <w:highlight w:val="none"/>
        </w:rPr>
      </w:pPr>
      <w:r>
        <w:rPr>
          <w:rFonts w:hint="eastAsia"/>
          <w:szCs w:val="21"/>
          <w:highlight w:val="none"/>
        </w:rPr>
        <w:t>5.2.8 法定代表人或单位负责人为同一人或者存在直接控股、管理关系的不同单位不得同时参与同一个项目（包组）的竞争。</w:t>
      </w:r>
    </w:p>
    <w:p>
      <w:pPr>
        <w:widowControl w:val="0"/>
        <w:shd w:val="clear" w:color="auto" w:fill="auto"/>
        <w:tabs>
          <w:tab w:val="clear" w:pos="426"/>
        </w:tabs>
        <w:autoSpaceDE w:val="0"/>
        <w:autoSpaceDN w:val="0"/>
        <w:rPr>
          <w:szCs w:val="21"/>
          <w:highlight w:val="none"/>
        </w:rPr>
      </w:pPr>
      <w:r>
        <w:rPr>
          <w:rFonts w:hint="eastAsia"/>
          <w:szCs w:val="21"/>
          <w:highlight w:val="none"/>
        </w:rPr>
        <w:t>5.2.9 符合</w:t>
      </w:r>
      <w:r>
        <w:rPr>
          <w:rFonts w:hint="eastAsia" w:cs="黑体"/>
          <w:szCs w:val="21"/>
          <w:highlight w:val="none"/>
        </w:rPr>
        <w:t>第一章采购公告“供应商资格要求”</w:t>
      </w:r>
      <w:r>
        <w:rPr>
          <w:rFonts w:hint="eastAsia"/>
          <w:szCs w:val="21"/>
          <w:highlight w:val="none"/>
        </w:rPr>
        <w:t>的条款</w:t>
      </w:r>
      <w:r>
        <w:rPr>
          <w:rFonts w:hint="eastAsia" w:cs="黑体"/>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5.3 成交人是指经法定程序确定并授予合同的供应商。</w:t>
      </w:r>
    </w:p>
    <w:p>
      <w:pPr>
        <w:tabs>
          <w:tab w:val="clear" w:pos="426"/>
        </w:tabs>
        <w:rPr>
          <w:highlight w:val="none"/>
        </w:rPr>
      </w:pPr>
      <w:r>
        <w:rPr>
          <w:rFonts w:hint="eastAsia"/>
          <w:highlight w:val="none"/>
        </w:rPr>
        <w:t>6.联合体谈判应答</w:t>
      </w:r>
    </w:p>
    <w:p>
      <w:pPr>
        <w:tabs>
          <w:tab w:val="clear" w:pos="426"/>
        </w:tabs>
        <w:rPr>
          <w:highlight w:val="none"/>
        </w:rPr>
      </w:pPr>
      <w:r>
        <w:rPr>
          <w:rFonts w:hint="eastAsia"/>
          <w:highlight w:val="none"/>
        </w:rPr>
        <w:t>6.1以下有关联合体谈判应答的条款仅适用于允许供应商组成联合体谈判应答的项目。</w:t>
      </w:r>
    </w:p>
    <w:p>
      <w:pPr>
        <w:tabs>
          <w:tab w:val="clear" w:pos="426"/>
        </w:tabs>
        <w:rPr>
          <w:highlight w:val="none"/>
        </w:rPr>
      </w:pPr>
      <w:r>
        <w:rPr>
          <w:rFonts w:hint="eastAsia"/>
          <w:highlight w:val="none"/>
        </w:rPr>
        <w:t>6.2由两个或两个以上的自然人、法人或者其他组织可以组成一个联合体，以一个供应商的身份共同谈判应答时，应符合以下原则：</w:t>
      </w:r>
    </w:p>
    <w:p>
      <w:pPr>
        <w:tabs>
          <w:tab w:val="clear" w:pos="426"/>
        </w:tabs>
        <w:rPr>
          <w:color w:val="000000"/>
          <w:highlight w:val="none"/>
        </w:rPr>
      </w:pPr>
      <w:r>
        <w:rPr>
          <w:rFonts w:hint="eastAsia"/>
          <w:color w:val="000000"/>
          <w:highlight w:val="none"/>
        </w:rPr>
        <w:t>6.2.</w:t>
      </w:r>
      <w:r>
        <w:rPr>
          <w:rFonts w:hint="eastAsia"/>
          <w:bCs/>
          <w:color w:val="000000"/>
          <w:highlight w:val="none"/>
        </w:rPr>
        <w:t>1谈判应答联合体应满足采购公告有关供应商资格要求中对联合体的要求；</w:t>
      </w:r>
    </w:p>
    <w:p>
      <w:pPr>
        <w:tabs>
          <w:tab w:val="clear" w:pos="426"/>
        </w:tabs>
        <w:rPr>
          <w:color w:val="000000"/>
          <w:highlight w:val="none"/>
        </w:rPr>
      </w:pPr>
      <w:r>
        <w:rPr>
          <w:rFonts w:hint="eastAsia"/>
          <w:color w:val="000000"/>
          <w:highlight w:val="none"/>
        </w:rPr>
        <w:t>6.2.2对于采购公告中所要求供应商应具有的某一资质，若联合体各方均具有，则将以联合体各方中最低的资质等级作为联合体在这一资质条件上的资质等级；联合体各方的不同资质可优势互补。</w:t>
      </w:r>
    </w:p>
    <w:p>
      <w:pPr>
        <w:tabs>
          <w:tab w:val="clear" w:pos="426"/>
        </w:tabs>
        <w:rPr>
          <w:color w:val="000000"/>
          <w:highlight w:val="none"/>
        </w:rPr>
      </w:pPr>
      <w:r>
        <w:rPr>
          <w:rFonts w:hint="eastAsia"/>
          <w:color w:val="000000"/>
          <w:highlight w:val="none"/>
        </w:rPr>
        <w:t>6.2.3供应商的谈判应答文件及成交后签署的合同协议对联合体各方均具法律约束力；</w:t>
      </w:r>
    </w:p>
    <w:p>
      <w:pPr>
        <w:tabs>
          <w:tab w:val="clear" w:pos="426"/>
        </w:tabs>
        <w:rPr>
          <w:color w:val="000000"/>
          <w:highlight w:val="none"/>
        </w:rPr>
      </w:pPr>
      <w:r>
        <w:rPr>
          <w:rFonts w:hint="eastAsia"/>
          <w:color w:val="000000"/>
          <w:highlight w:val="none"/>
        </w:rPr>
        <w:t>6.2.4联合体各方应当签订共同谈判应答协议，明确约定各方拟承担的工作和责任，并将该共同谈判应答协议随谈判应答文件一并递交给政府采购代理机构；</w:t>
      </w:r>
    </w:p>
    <w:p>
      <w:pPr>
        <w:tabs>
          <w:tab w:val="clear" w:pos="426"/>
        </w:tabs>
        <w:rPr>
          <w:color w:val="000000"/>
          <w:highlight w:val="none"/>
        </w:rPr>
      </w:pPr>
      <w:r>
        <w:rPr>
          <w:rFonts w:hint="eastAsia"/>
          <w:color w:val="000000"/>
          <w:highlight w:val="none"/>
        </w:rPr>
        <w:t>6.2.5联合体的各方应当共同推荐一联合体谈判应答授权代表人，由联合体各方提交一份授权书，证明其有资格代表联合体各方签署谈判应答文件，该授权书作为谈判应答文件的组成部分一并提交给政府采购代理机构；</w:t>
      </w:r>
    </w:p>
    <w:p>
      <w:pPr>
        <w:tabs>
          <w:tab w:val="clear" w:pos="426"/>
        </w:tabs>
        <w:rPr>
          <w:color w:val="000000"/>
          <w:highlight w:val="none"/>
        </w:rPr>
      </w:pPr>
      <w:r>
        <w:rPr>
          <w:rFonts w:hint="eastAsia"/>
          <w:color w:val="000000"/>
          <w:highlight w:val="none"/>
        </w:rPr>
        <w:t>6.2.6参加联合体的各方不得再以自己的名义单独谈判应答，不得同时参加两个或两个以上的联合体谈判应答、不得以分包商或其它形式参与谈判应答，出现上述情况者，其谈判应答和与此有关联合体、总包单位的谈判应答将被拒绝；</w:t>
      </w:r>
    </w:p>
    <w:p>
      <w:pPr>
        <w:tabs>
          <w:tab w:val="clear" w:pos="426"/>
        </w:tabs>
        <w:rPr>
          <w:color w:val="000000"/>
          <w:highlight w:val="none"/>
        </w:rPr>
      </w:pPr>
      <w:r>
        <w:rPr>
          <w:rFonts w:hint="eastAsia"/>
          <w:color w:val="000000"/>
          <w:highlight w:val="none"/>
        </w:rPr>
        <w:t>6.2.7除非另有规定或说明，本须知中“供应商”一词亦指联合体各方。</w:t>
      </w:r>
    </w:p>
    <w:p>
      <w:pPr>
        <w:tabs>
          <w:tab w:val="clear" w:pos="426"/>
        </w:tabs>
        <w:rPr>
          <w:highlight w:val="none"/>
        </w:rPr>
      </w:pPr>
      <w:r>
        <w:rPr>
          <w:rFonts w:hint="eastAsia"/>
          <w:highlight w:val="none"/>
        </w:rPr>
        <w:t>7. 合格的服务和货物</w:t>
      </w:r>
    </w:p>
    <w:p>
      <w:pPr>
        <w:widowControl w:val="0"/>
        <w:shd w:val="clear" w:color="auto" w:fill="auto"/>
        <w:tabs>
          <w:tab w:val="clear" w:pos="426"/>
        </w:tabs>
        <w:autoSpaceDE w:val="0"/>
        <w:autoSpaceDN w:val="0"/>
        <w:rPr>
          <w:szCs w:val="21"/>
          <w:highlight w:val="none"/>
        </w:rPr>
      </w:pPr>
      <w:r>
        <w:rPr>
          <w:rFonts w:hint="eastAsia"/>
          <w:szCs w:val="21"/>
          <w:highlight w:val="none"/>
        </w:rPr>
        <w:t>7.1 “服务” 是指供应商按竞争性谈判文件规定完成的全部服务内容，其中包括完成服务所需的货物，及须承担的技术支持、培训和其它伴随服务。</w:t>
      </w:r>
    </w:p>
    <w:p>
      <w:pPr>
        <w:widowControl w:val="0"/>
        <w:shd w:val="clear" w:color="auto" w:fill="auto"/>
        <w:tabs>
          <w:tab w:val="clear" w:pos="426"/>
        </w:tabs>
        <w:autoSpaceDE w:val="0"/>
        <w:autoSpaceDN w:val="0"/>
        <w:rPr>
          <w:rFonts w:cs="黑体"/>
          <w:b/>
          <w:bCs/>
          <w:szCs w:val="21"/>
          <w:highlight w:val="none"/>
        </w:rPr>
      </w:pPr>
      <w:r>
        <w:rPr>
          <w:rFonts w:hint="eastAsia"/>
          <w:szCs w:val="21"/>
          <w:highlight w:val="none"/>
        </w:rPr>
        <w:t>7.2 “货物”是指供应商制造或组织符合竞争性谈判文件要求的货物等。谈判应答的货物必须是其合法生产、合法来源的符合国家有关标准要求的货物，并满足竞争性谈判文件规定的规格、参数、质量、价格、有效期、售后服务等要求。</w:t>
      </w:r>
    </w:p>
    <w:p>
      <w:pPr>
        <w:widowControl w:val="0"/>
        <w:shd w:val="clear" w:color="auto" w:fill="auto"/>
        <w:tabs>
          <w:tab w:val="clear" w:pos="426"/>
        </w:tabs>
        <w:autoSpaceDE w:val="0"/>
        <w:autoSpaceDN w:val="0"/>
        <w:rPr>
          <w:szCs w:val="21"/>
          <w:highlight w:val="none"/>
        </w:rPr>
      </w:pPr>
      <w:r>
        <w:rPr>
          <w:rFonts w:hint="eastAsia"/>
          <w:szCs w:val="21"/>
          <w:highlight w:val="none"/>
        </w:rPr>
        <w:t>7.3 供应商提供的所有服务，其质量、技术等特征必须符合国家、行业现行法律、法规的相关标准和《中华人民共和国政府采购法》的有关规定及用户需求。</w:t>
      </w:r>
    </w:p>
    <w:p>
      <w:pPr>
        <w:widowControl w:val="0"/>
        <w:shd w:val="clear" w:color="auto" w:fill="auto"/>
        <w:tabs>
          <w:tab w:val="clear" w:pos="426"/>
        </w:tabs>
        <w:autoSpaceDE w:val="0"/>
        <w:autoSpaceDN w:val="0"/>
        <w:rPr>
          <w:szCs w:val="21"/>
          <w:highlight w:val="none"/>
        </w:rPr>
      </w:pPr>
      <w:r>
        <w:rPr>
          <w:rFonts w:hint="eastAsia"/>
          <w:szCs w:val="21"/>
          <w:highlight w:val="none"/>
        </w:rPr>
        <w:t>7.4 采购人有权拒绝接受任何不合格的服务，由此产生的费用及相关后果均由供应商自行承担。</w:t>
      </w:r>
    </w:p>
    <w:p>
      <w:pPr>
        <w:widowControl w:val="0"/>
        <w:shd w:val="clear" w:color="auto" w:fill="auto"/>
        <w:tabs>
          <w:tab w:val="clear" w:pos="426"/>
        </w:tabs>
        <w:autoSpaceDE w:val="0"/>
        <w:autoSpaceDN w:val="0"/>
        <w:rPr>
          <w:szCs w:val="21"/>
          <w:highlight w:val="none"/>
        </w:rPr>
      </w:pPr>
      <w:r>
        <w:rPr>
          <w:rFonts w:hint="eastAsia"/>
          <w:szCs w:val="21"/>
          <w:highlight w:val="none"/>
        </w:rPr>
        <w:t>7.5 供应商应保证本项目的谈判应答技术、服务或其任何一部分不会产生因第三方提出侵犯其专利权、商标权或其他知识产权而引起的法律和经济纠纷；如果供应商不拥有相应的知识产权，则须在报价中包括合法获取该知识产权的相关费用，并在谈判应答文件中附有相关证明文件。如因第三方提出其专利权、商标权或其他知识产权的侵权之诉，则一切法律责任由供应商承担。</w:t>
      </w:r>
    </w:p>
    <w:p>
      <w:pPr>
        <w:tabs>
          <w:tab w:val="clear" w:pos="426"/>
        </w:tabs>
        <w:rPr>
          <w:highlight w:val="none"/>
        </w:rPr>
      </w:pPr>
      <w:r>
        <w:rPr>
          <w:rFonts w:hint="eastAsia"/>
          <w:highlight w:val="none"/>
        </w:rPr>
        <w:t>8.谈判应答费用</w:t>
      </w:r>
      <w:bookmarkEnd w:id="87"/>
      <w:bookmarkEnd w:id="88"/>
      <w:bookmarkEnd w:id="89"/>
      <w:bookmarkEnd w:id="90"/>
      <w:bookmarkEnd w:id="91"/>
      <w:bookmarkEnd w:id="92"/>
      <w:bookmarkEnd w:id="93"/>
    </w:p>
    <w:p>
      <w:pPr>
        <w:tabs>
          <w:tab w:val="clear" w:pos="426"/>
        </w:tabs>
        <w:rPr>
          <w:highlight w:val="none"/>
        </w:rPr>
      </w:pPr>
      <w:r>
        <w:rPr>
          <w:rFonts w:hint="eastAsia"/>
          <w:highlight w:val="none"/>
        </w:rPr>
        <w:t>不论谈判应答结果如何，供应商应承担其编制谈判应答文件与递交谈判应答文件所涉及的一切费用。</w:t>
      </w:r>
      <w:r>
        <w:rPr>
          <w:rFonts w:hint="eastAsia"/>
          <w:szCs w:val="21"/>
          <w:highlight w:val="none"/>
          <w:lang w:eastAsia="zh-TW"/>
        </w:rPr>
        <w:t>不论谈判应答的结果如何</w:t>
      </w:r>
      <w:r>
        <w:rPr>
          <w:rFonts w:hint="eastAsia"/>
          <w:szCs w:val="21"/>
          <w:highlight w:val="none"/>
        </w:rPr>
        <w:t>，</w:t>
      </w:r>
      <w:r>
        <w:rPr>
          <w:rFonts w:hint="eastAsia"/>
          <w:szCs w:val="21"/>
          <w:highlight w:val="none"/>
          <w:lang w:eastAsia="zh-TW"/>
        </w:rPr>
        <w:t>竞争性谈判采购单位均无义务和责任承担这些费用</w:t>
      </w:r>
      <w:r>
        <w:rPr>
          <w:rFonts w:hint="eastAsia"/>
          <w:szCs w:val="21"/>
          <w:highlight w:val="none"/>
        </w:rPr>
        <w:t>。</w:t>
      </w:r>
    </w:p>
    <w:p>
      <w:pPr>
        <w:tabs>
          <w:tab w:val="clear" w:pos="426"/>
        </w:tabs>
        <w:rPr>
          <w:highlight w:val="none"/>
        </w:rPr>
      </w:pPr>
      <w:bookmarkStart w:id="94" w:name="_Toc60631627"/>
      <w:bookmarkStart w:id="95" w:name="_Toc100052371"/>
      <w:bookmarkStart w:id="96" w:name="_Toc73518124"/>
      <w:bookmarkStart w:id="97" w:name="_Toc73517646"/>
      <w:bookmarkStart w:id="98" w:name="_Toc73521554"/>
      <w:bookmarkStart w:id="99" w:name="_Toc73521642"/>
      <w:bookmarkStart w:id="100" w:name="_Toc60560632"/>
      <w:r>
        <w:rPr>
          <w:rFonts w:hint="eastAsia"/>
          <w:highlight w:val="none"/>
        </w:rPr>
        <w:t>9.踏勘现场</w:t>
      </w:r>
      <w:bookmarkEnd w:id="94"/>
      <w:bookmarkEnd w:id="95"/>
      <w:bookmarkEnd w:id="96"/>
      <w:bookmarkEnd w:id="97"/>
      <w:bookmarkEnd w:id="98"/>
      <w:bookmarkEnd w:id="99"/>
      <w:bookmarkEnd w:id="100"/>
    </w:p>
    <w:p>
      <w:pPr>
        <w:tabs>
          <w:tab w:val="clear" w:pos="426"/>
        </w:tabs>
        <w:rPr>
          <w:highlight w:val="none"/>
        </w:rPr>
      </w:pPr>
      <w:bookmarkStart w:id="101" w:name="_Toc78260681"/>
      <w:bookmarkStart w:id="102" w:name="_Toc100052372"/>
      <w:r>
        <w:rPr>
          <w:rFonts w:hint="eastAsia"/>
          <w:highlight w:val="none"/>
        </w:rPr>
        <w:t>9.1如有需要，采购代理机构或采购单位将组织供应商对项目现场及周围环境进行踏勘，以便供应商获取有关编制谈判应答文件和签署合同所需的所有资料。踏勘现场所发生的费用和风险由供应商自己承担，供应商应按采购公告所约定的时间、地点统一踏勘现场。</w:t>
      </w:r>
    </w:p>
    <w:p>
      <w:pPr>
        <w:tabs>
          <w:tab w:val="clear" w:pos="426"/>
        </w:tabs>
        <w:rPr>
          <w:highlight w:val="none"/>
        </w:rPr>
      </w:pPr>
      <w:r>
        <w:rPr>
          <w:rFonts w:hint="eastAsia"/>
          <w:highlight w:val="none"/>
        </w:rPr>
        <w:t>9.2供应商及其人员经过采购单位的允许，可以踏勘目的进入采购单位的项目现场。若本项目竞争性谈判文件要求供应商于统一时间地点踏勘现场的，供应商按时前往。</w:t>
      </w:r>
    </w:p>
    <w:p>
      <w:pPr>
        <w:tabs>
          <w:tab w:val="clear" w:pos="426"/>
        </w:tabs>
        <w:rPr>
          <w:highlight w:val="none"/>
        </w:rPr>
      </w:pPr>
      <w:r>
        <w:rPr>
          <w:rFonts w:hint="eastAsia"/>
          <w:highlight w:val="none"/>
        </w:rPr>
        <w:t>9.3采购单位必须通过采购代理机构向供应商提供有关现场的资料和数据。</w:t>
      </w:r>
    </w:p>
    <w:p>
      <w:pPr>
        <w:tabs>
          <w:tab w:val="clear" w:pos="426"/>
        </w:tabs>
        <w:rPr>
          <w:highlight w:val="none"/>
        </w:rPr>
      </w:pPr>
      <w:r>
        <w:rPr>
          <w:rFonts w:hint="eastAsia"/>
          <w:highlight w:val="none"/>
        </w:rPr>
        <w:t>9.4任何人或任何组织在踏勘现场时向供应商提交的任何书面或口头上的资料，未经采购代理机构在网上发布或书面通知，均作无效处理。采购代理机构对供应商由此而做出的推论、理解和结论概不负责。</w:t>
      </w:r>
    </w:p>
    <w:p>
      <w:pPr>
        <w:tabs>
          <w:tab w:val="clear" w:pos="426"/>
        </w:tabs>
        <w:rPr>
          <w:highlight w:val="none"/>
        </w:rPr>
      </w:pPr>
      <w:r>
        <w:rPr>
          <w:rFonts w:hint="eastAsia"/>
          <w:highlight w:val="none"/>
        </w:rPr>
        <w:t>9.5 未参与现场踏勘不作为否定供应商资格的理由。</w:t>
      </w:r>
    </w:p>
    <w:p>
      <w:pPr>
        <w:tabs>
          <w:tab w:val="clear" w:pos="426"/>
        </w:tabs>
        <w:rPr>
          <w:highlight w:val="none"/>
        </w:rPr>
      </w:pPr>
      <w:r>
        <w:rPr>
          <w:rFonts w:hint="eastAsia"/>
          <w:highlight w:val="none"/>
        </w:rPr>
        <w:t>10.竞争性谈判</w:t>
      </w:r>
      <w:bookmarkEnd w:id="101"/>
      <w:r>
        <w:rPr>
          <w:rFonts w:hint="eastAsia"/>
          <w:highlight w:val="none"/>
        </w:rPr>
        <w:t>答疑</w:t>
      </w:r>
      <w:bookmarkEnd w:id="102"/>
    </w:p>
    <w:p>
      <w:pPr>
        <w:tabs>
          <w:tab w:val="clear" w:pos="426"/>
        </w:tabs>
        <w:rPr>
          <w:highlight w:val="none"/>
        </w:rPr>
      </w:pPr>
      <w:r>
        <w:rPr>
          <w:rFonts w:hint="eastAsia"/>
          <w:highlight w:val="none"/>
        </w:rPr>
        <w:t>10.1竞争性谈判答疑的目的是澄清、解答供应商在查阅竞争性谈判文件后或现场踏勘中可能提出的与谈判应答有关的疑问或询问。</w:t>
      </w:r>
    </w:p>
    <w:p>
      <w:pPr>
        <w:tabs>
          <w:tab w:val="clear" w:pos="426"/>
        </w:tabs>
        <w:rPr>
          <w:highlight w:val="none"/>
        </w:rPr>
      </w:pPr>
      <w:r>
        <w:rPr>
          <w:rFonts w:hint="eastAsia"/>
          <w:highlight w:val="none"/>
        </w:rPr>
        <w:t>10.2供应商提出的与谈判应答有关的问题须在竞争性谈判文件规定的答疑截止时间前以 “质疑函</w:t>
      </w:r>
      <w:r>
        <w:rPr>
          <w:highlight w:val="none"/>
        </w:rPr>
        <w:t>”</w:t>
      </w:r>
      <w:r>
        <w:rPr>
          <w:rFonts w:hint="eastAsia"/>
          <w:highlight w:val="none"/>
        </w:rPr>
        <w:t>的形式提交给采购代理机构，质疑函应该加盖质疑单位公章。</w:t>
      </w:r>
    </w:p>
    <w:p>
      <w:pPr>
        <w:tabs>
          <w:tab w:val="clear" w:pos="426"/>
        </w:tabs>
        <w:rPr>
          <w:highlight w:val="none"/>
        </w:rPr>
      </w:pPr>
      <w:r>
        <w:rPr>
          <w:rFonts w:hint="eastAsia"/>
          <w:highlight w:val="none"/>
        </w:rPr>
        <w:t>10.3采购代理机构对疑问所做出的澄清和解答，以书面答复（包括网站发布信息）为准。答疑纪要的有效性规定按照本通用条款第13</w:t>
      </w:r>
      <w:r>
        <w:rPr>
          <w:highlight w:val="none"/>
        </w:rPr>
        <w:t>.3</w:t>
      </w:r>
      <w:r>
        <w:rPr>
          <w:rFonts w:hint="eastAsia"/>
          <w:highlight w:val="none"/>
        </w:rPr>
        <w:t>、13</w:t>
      </w:r>
      <w:r>
        <w:rPr>
          <w:highlight w:val="none"/>
        </w:rPr>
        <w:t>.4</w:t>
      </w:r>
      <w:r>
        <w:rPr>
          <w:rFonts w:hint="eastAsia"/>
          <w:highlight w:val="none"/>
        </w:rPr>
        <w:t>款规定执行。</w:t>
      </w:r>
    </w:p>
    <w:p>
      <w:pPr>
        <w:tabs>
          <w:tab w:val="clear" w:pos="426"/>
        </w:tabs>
        <w:rPr>
          <w:highlight w:val="none"/>
        </w:rPr>
      </w:pPr>
      <w:r>
        <w:rPr>
          <w:rFonts w:hint="eastAsia"/>
          <w:highlight w:val="none"/>
        </w:rPr>
        <w:t>10.4如采购代理机构认为有必要组织现场答疑会，供应商应按照竞争性谈判文件规定的时间或采购代理机构另行书面通知（包括网站发布的通知）的时间和地点，参与现场答疑会。</w:t>
      </w:r>
    </w:p>
    <w:p>
      <w:pPr>
        <w:tabs>
          <w:tab w:val="clear" w:pos="426"/>
        </w:tabs>
        <w:rPr>
          <w:highlight w:val="none"/>
        </w:rPr>
      </w:pPr>
      <w:r>
        <w:rPr>
          <w:rFonts w:hint="eastAsia"/>
          <w:highlight w:val="none"/>
        </w:rPr>
        <w:t>10.5未参与竞争性谈判答疑不作为否定供应商资格的理由。</w:t>
      </w:r>
    </w:p>
    <w:p>
      <w:pPr>
        <w:pStyle w:val="5"/>
        <w:tabs>
          <w:tab w:val="clear" w:pos="426"/>
        </w:tabs>
        <w:rPr>
          <w:highlight w:val="none"/>
        </w:rPr>
      </w:pPr>
      <w:bookmarkStart w:id="103" w:name="bt招标文件"/>
      <w:bookmarkEnd w:id="103"/>
      <w:bookmarkStart w:id="104" w:name="_Toc73521644"/>
      <w:bookmarkStart w:id="105" w:name="_Toc432592822"/>
      <w:bookmarkStart w:id="106" w:name="_Toc100052373"/>
      <w:bookmarkStart w:id="107" w:name="_Toc101074878"/>
      <w:bookmarkStart w:id="108" w:name="_Toc73517648"/>
      <w:bookmarkStart w:id="109" w:name="_Toc73518126"/>
      <w:bookmarkStart w:id="110" w:name="_Toc398220530"/>
      <w:bookmarkStart w:id="111" w:name="_Toc13200"/>
      <w:bookmarkStart w:id="112" w:name="_Toc73521556"/>
      <w:r>
        <w:rPr>
          <w:rFonts w:hint="eastAsia"/>
          <w:highlight w:val="none"/>
        </w:rPr>
        <w:t>第二章 竞争性谈判文件</w:t>
      </w:r>
      <w:bookmarkEnd w:id="104"/>
      <w:bookmarkEnd w:id="105"/>
      <w:bookmarkEnd w:id="106"/>
      <w:bookmarkEnd w:id="107"/>
      <w:bookmarkEnd w:id="108"/>
      <w:bookmarkEnd w:id="109"/>
      <w:bookmarkEnd w:id="110"/>
      <w:bookmarkEnd w:id="111"/>
      <w:bookmarkEnd w:id="112"/>
    </w:p>
    <w:p>
      <w:pPr>
        <w:tabs>
          <w:tab w:val="clear" w:pos="426"/>
        </w:tabs>
        <w:rPr>
          <w:highlight w:val="none"/>
        </w:rPr>
      </w:pPr>
      <w:bookmarkStart w:id="113" w:name="_Toc73521645"/>
      <w:bookmarkStart w:id="114" w:name="_Toc100052374"/>
      <w:bookmarkStart w:id="115" w:name="_Toc73521557"/>
      <w:bookmarkStart w:id="116" w:name="_Toc73517649"/>
      <w:bookmarkStart w:id="117" w:name="_Toc73518127"/>
      <w:r>
        <w:rPr>
          <w:rFonts w:hint="eastAsia"/>
          <w:highlight w:val="none"/>
        </w:rPr>
        <w:t>11.竞争性谈判文件的编制与组成</w:t>
      </w:r>
      <w:bookmarkEnd w:id="113"/>
      <w:bookmarkEnd w:id="114"/>
      <w:bookmarkEnd w:id="115"/>
      <w:bookmarkEnd w:id="116"/>
      <w:bookmarkEnd w:id="117"/>
    </w:p>
    <w:p>
      <w:pPr>
        <w:tabs>
          <w:tab w:val="clear" w:pos="426"/>
        </w:tabs>
        <w:rPr>
          <w:highlight w:val="none"/>
        </w:rPr>
      </w:pPr>
      <w:r>
        <w:rPr>
          <w:rFonts w:hint="eastAsia"/>
          <w:highlight w:val="none"/>
        </w:rPr>
        <w:t>11.1竞争性谈判文件除以下内容外，采购代理机构在竞争性谈判（或谈判）期间发出的答疑纪要和其他补充修改函件，均是竞争性谈判文件的组成部分，对供应商起约束作用；</w:t>
      </w:r>
    </w:p>
    <w:p>
      <w:pPr>
        <w:tabs>
          <w:tab w:val="clear" w:pos="426"/>
        </w:tabs>
        <w:rPr>
          <w:highlight w:val="none"/>
        </w:rPr>
      </w:pPr>
      <w:r>
        <w:rPr>
          <w:rFonts w:hint="eastAsia"/>
          <w:highlight w:val="none"/>
        </w:rPr>
        <w:t>竞争性谈判文件包括下列内容：</w:t>
      </w:r>
    </w:p>
    <w:p>
      <w:pPr>
        <w:tabs>
          <w:tab w:val="clear" w:pos="426"/>
        </w:tabs>
        <w:rPr>
          <w:highlight w:val="none"/>
        </w:rPr>
      </w:pPr>
      <w:r>
        <w:rPr>
          <w:rFonts w:hint="eastAsia"/>
          <w:highlight w:val="none"/>
        </w:rPr>
        <w:t>项目关键信息</w:t>
      </w:r>
    </w:p>
    <w:p>
      <w:pPr>
        <w:tabs>
          <w:tab w:val="clear" w:pos="426"/>
        </w:tabs>
        <w:rPr>
          <w:highlight w:val="none"/>
        </w:rPr>
      </w:pPr>
      <w:r>
        <w:rPr>
          <w:rFonts w:hint="eastAsia"/>
          <w:highlight w:val="none"/>
        </w:rPr>
        <w:t>谈判信息</w:t>
      </w:r>
    </w:p>
    <w:p>
      <w:pPr>
        <w:tabs>
          <w:tab w:val="clear" w:pos="426"/>
        </w:tabs>
        <w:rPr>
          <w:highlight w:val="none"/>
        </w:rPr>
      </w:pPr>
      <w:r>
        <w:rPr>
          <w:rFonts w:hint="eastAsia"/>
          <w:highlight w:val="none"/>
        </w:rPr>
        <w:t>第一册  专用条款</w:t>
      </w:r>
    </w:p>
    <w:p>
      <w:pPr>
        <w:tabs>
          <w:tab w:val="clear" w:pos="426"/>
        </w:tabs>
        <w:rPr>
          <w:highlight w:val="none"/>
        </w:rPr>
      </w:pPr>
      <w:r>
        <w:rPr>
          <w:rFonts w:hint="eastAsia"/>
          <w:highlight w:val="none"/>
        </w:rPr>
        <w:t>第一章  采购公告</w:t>
      </w:r>
    </w:p>
    <w:p>
      <w:pPr>
        <w:tabs>
          <w:tab w:val="clear" w:pos="426"/>
        </w:tabs>
        <w:rPr>
          <w:highlight w:val="none"/>
        </w:rPr>
      </w:pPr>
      <w:r>
        <w:rPr>
          <w:rFonts w:hint="eastAsia"/>
          <w:highlight w:val="none"/>
        </w:rPr>
        <w:t>第二章  采购项目需求</w:t>
      </w:r>
    </w:p>
    <w:p>
      <w:pPr>
        <w:tabs>
          <w:tab w:val="clear" w:pos="426"/>
        </w:tabs>
        <w:rPr>
          <w:highlight w:val="none"/>
        </w:rPr>
      </w:pPr>
      <w:r>
        <w:rPr>
          <w:rFonts w:hint="eastAsia"/>
          <w:highlight w:val="none"/>
        </w:rPr>
        <w:t>第三章  合同条款及格式</w:t>
      </w:r>
    </w:p>
    <w:p>
      <w:pPr>
        <w:tabs>
          <w:tab w:val="clear" w:pos="426"/>
        </w:tabs>
        <w:rPr>
          <w:highlight w:val="none"/>
        </w:rPr>
      </w:pPr>
      <w:r>
        <w:rPr>
          <w:rFonts w:hint="eastAsia"/>
          <w:highlight w:val="none"/>
        </w:rPr>
        <w:t>第四章  谈判应答文件格式、附件</w:t>
      </w:r>
    </w:p>
    <w:p>
      <w:pPr>
        <w:tabs>
          <w:tab w:val="clear" w:pos="426"/>
        </w:tabs>
        <w:rPr>
          <w:highlight w:val="none"/>
        </w:rPr>
      </w:pPr>
      <w:r>
        <w:rPr>
          <w:rFonts w:hint="eastAsia"/>
          <w:highlight w:val="none"/>
        </w:rPr>
        <w:t>第二册  通用条款</w:t>
      </w:r>
    </w:p>
    <w:p>
      <w:pPr>
        <w:tabs>
          <w:tab w:val="clear" w:pos="426"/>
        </w:tabs>
        <w:rPr>
          <w:highlight w:val="none"/>
        </w:rPr>
      </w:pPr>
      <w:r>
        <w:rPr>
          <w:rFonts w:hint="eastAsia"/>
          <w:highlight w:val="none"/>
        </w:rPr>
        <w:t>第一章  总则</w:t>
      </w:r>
    </w:p>
    <w:p>
      <w:pPr>
        <w:tabs>
          <w:tab w:val="clear" w:pos="426"/>
        </w:tabs>
        <w:rPr>
          <w:highlight w:val="none"/>
        </w:rPr>
      </w:pPr>
      <w:r>
        <w:rPr>
          <w:rFonts w:hint="eastAsia"/>
          <w:highlight w:val="none"/>
        </w:rPr>
        <w:t>第二章  竞争性谈判文件</w:t>
      </w:r>
    </w:p>
    <w:p>
      <w:pPr>
        <w:tabs>
          <w:tab w:val="clear" w:pos="426"/>
        </w:tabs>
        <w:rPr>
          <w:highlight w:val="none"/>
        </w:rPr>
      </w:pPr>
      <w:r>
        <w:rPr>
          <w:rFonts w:hint="eastAsia"/>
          <w:highlight w:val="none"/>
        </w:rPr>
        <w:t>第三章  谈判应答文件的编制与递交</w:t>
      </w:r>
    </w:p>
    <w:p>
      <w:pPr>
        <w:tabs>
          <w:tab w:val="clear" w:pos="426"/>
        </w:tabs>
        <w:rPr>
          <w:highlight w:val="none"/>
        </w:rPr>
      </w:pPr>
      <w:r>
        <w:rPr>
          <w:rFonts w:hint="eastAsia"/>
          <w:highlight w:val="none"/>
        </w:rPr>
        <w:t>第四章  谈判初始报价</w:t>
      </w:r>
    </w:p>
    <w:p>
      <w:pPr>
        <w:tabs>
          <w:tab w:val="clear" w:pos="426"/>
        </w:tabs>
        <w:rPr>
          <w:highlight w:val="none"/>
        </w:rPr>
      </w:pPr>
      <w:r>
        <w:rPr>
          <w:rFonts w:hint="eastAsia"/>
          <w:highlight w:val="none"/>
        </w:rPr>
        <w:t>第五章  谈判要求</w:t>
      </w:r>
    </w:p>
    <w:p>
      <w:pPr>
        <w:tabs>
          <w:tab w:val="clear" w:pos="426"/>
        </w:tabs>
        <w:rPr>
          <w:highlight w:val="none"/>
        </w:rPr>
      </w:pPr>
      <w:r>
        <w:rPr>
          <w:rFonts w:hint="eastAsia"/>
          <w:highlight w:val="none"/>
        </w:rPr>
        <w:t>第六章  谈判程序及谈判方法</w:t>
      </w:r>
    </w:p>
    <w:p>
      <w:pPr>
        <w:tabs>
          <w:tab w:val="clear" w:pos="426"/>
        </w:tabs>
        <w:rPr>
          <w:highlight w:val="none"/>
        </w:rPr>
      </w:pPr>
      <w:r>
        <w:rPr>
          <w:rFonts w:hint="eastAsia"/>
          <w:highlight w:val="none"/>
        </w:rPr>
        <w:t>第七章  定标及公示</w:t>
      </w:r>
    </w:p>
    <w:p>
      <w:pPr>
        <w:tabs>
          <w:tab w:val="clear" w:pos="426"/>
        </w:tabs>
        <w:rPr>
          <w:highlight w:val="none"/>
        </w:rPr>
      </w:pPr>
      <w:r>
        <w:rPr>
          <w:rFonts w:hint="eastAsia"/>
          <w:highlight w:val="none"/>
        </w:rPr>
        <w:t>第八章  公开竞争性谈判失败的后续处理</w:t>
      </w:r>
    </w:p>
    <w:p>
      <w:pPr>
        <w:tabs>
          <w:tab w:val="clear" w:pos="426"/>
        </w:tabs>
        <w:rPr>
          <w:highlight w:val="none"/>
        </w:rPr>
      </w:pPr>
      <w:r>
        <w:rPr>
          <w:rFonts w:hint="eastAsia"/>
          <w:highlight w:val="none"/>
        </w:rPr>
        <w:t>第九章  合同的授予与备案</w:t>
      </w:r>
    </w:p>
    <w:p>
      <w:pPr>
        <w:tabs>
          <w:tab w:val="clear" w:pos="426"/>
        </w:tabs>
        <w:rPr>
          <w:highlight w:val="none"/>
        </w:rPr>
      </w:pPr>
      <w:r>
        <w:rPr>
          <w:rFonts w:hint="eastAsia"/>
          <w:highlight w:val="none"/>
        </w:rPr>
        <w:t>第十章  质疑处理</w:t>
      </w:r>
    </w:p>
    <w:p>
      <w:pPr>
        <w:tabs>
          <w:tab w:val="clear" w:pos="426"/>
        </w:tabs>
        <w:rPr>
          <w:highlight w:val="none"/>
        </w:rPr>
      </w:pPr>
      <w:bookmarkStart w:id="118" w:name="_Toc73521646"/>
      <w:bookmarkStart w:id="119" w:name="_Toc73517650"/>
      <w:bookmarkStart w:id="120" w:name="_Toc73521558"/>
      <w:bookmarkStart w:id="121" w:name="_Toc73518128"/>
      <w:bookmarkStart w:id="122" w:name="_Toc60631631"/>
      <w:bookmarkStart w:id="123" w:name="_Toc100052375"/>
      <w:bookmarkStart w:id="124" w:name="_Toc60560636"/>
      <w:bookmarkStart w:id="125" w:name="_Toc73521559"/>
      <w:bookmarkStart w:id="126" w:name="_Toc73521647"/>
      <w:bookmarkStart w:id="127" w:name="_Toc60560637"/>
      <w:bookmarkStart w:id="128" w:name="_Toc60631632"/>
      <w:bookmarkStart w:id="129" w:name="_Toc73518129"/>
      <w:bookmarkStart w:id="130" w:name="_Toc73517651"/>
      <w:bookmarkStart w:id="131" w:name="_Toc100052376"/>
      <w:r>
        <w:rPr>
          <w:rFonts w:hint="eastAsia"/>
          <w:highlight w:val="none"/>
        </w:rPr>
        <w:t>11.2 供应商购买竞争性谈判文件后，应仔细检查竞争性谈判文件的所有内容，如有残缺应在答疑截止时间之前向采购代理机构提出，否则，由此引起的谈判应答损失自负；供应商同时应认真审阅竞争性谈判文件所有的事项、格式、条款和规范要求等，如果供应商的谈判应答文件没有按竞争性谈判文件要求提交全部资料或者谈判应答文件没有对竞争性谈判文件做出实质性响应，其风险应由供应商自行承担，并根据有关条款规定，其谈判应答有可能被拒绝。</w:t>
      </w:r>
    </w:p>
    <w:p>
      <w:pPr>
        <w:tabs>
          <w:tab w:val="clear" w:pos="426"/>
        </w:tabs>
        <w:rPr>
          <w:szCs w:val="21"/>
          <w:highlight w:val="none"/>
        </w:rPr>
      </w:pPr>
      <w:r>
        <w:rPr>
          <w:rFonts w:hint="eastAsia"/>
          <w:szCs w:val="21"/>
          <w:highlight w:val="none"/>
        </w:rPr>
        <w:t>11.3</w:t>
      </w:r>
      <w:r>
        <w:rPr>
          <w:rFonts w:hint="eastAsia"/>
          <w:highlight w:val="none"/>
        </w:rPr>
        <w:t>任何人或任何组织向供应商提交的任何书面或口头资料，未经采购代理机构在网上发布或书面通知，均作无效处理，不得作为竞争性谈判文件的组成部分。采购代理机构对供应商由此而做出的推论、理解和结论概不负责。</w:t>
      </w:r>
    </w:p>
    <w:p>
      <w:pPr>
        <w:tabs>
          <w:tab w:val="clear" w:pos="426"/>
        </w:tabs>
        <w:rPr>
          <w:highlight w:val="none"/>
        </w:rPr>
      </w:pPr>
      <w:r>
        <w:rPr>
          <w:rFonts w:hint="eastAsia"/>
          <w:highlight w:val="none"/>
        </w:rPr>
        <w:t>12.竞争性谈判文件的澄清</w:t>
      </w:r>
      <w:bookmarkEnd w:id="118"/>
      <w:bookmarkEnd w:id="119"/>
      <w:bookmarkEnd w:id="120"/>
      <w:bookmarkEnd w:id="121"/>
      <w:bookmarkEnd w:id="122"/>
      <w:bookmarkEnd w:id="123"/>
      <w:bookmarkEnd w:id="124"/>
    </w:p>
    <w:p>
      <w:pPr>
        <w:tabs>
          <w:tab w:val="clear" w:pos="426"/>
        </w:tabs>
        <w:rPr>
          <w:highlight w:val="none"/>
        </w:rPr>
      </w:pPr>
      <w:r>
        <w:rPr>
          <w:rFonts w:hint="eastAsia"/>
          <w:highlight w:val="none"/>
        </w:rPr>
        <w:t>12.1供应商在收到竞争性谈判文件后，对竞争性谈判文件任何部分若有任何疑问，或要求澄清竞争性谈判文件的，均应在采购公告规定的答疑截止时间内，按“质疑函”的形式向采购代理机构提交。不论是采购代理机构根据需要主动对竞争性谈判文件进行必要的澄清或是根据供应商的要求对竞争性谈判文件做出澄清，采购代理机构都将在谈判应答截止日期前以书面形式答复或发送给所有供应商。澄清纪要作为竞争性谈判文件的组成部分，对供应商起约束作用；</w:t>
      </w:r>
    </w:p>
    <w:p>
      <w:pPr>
        <w:tabs>
          <w:tab w:val="clear" w:pos="426"/>
        </w:tabs>
        <w:rPr>
          <w:highlight w:val="none"/>
        </w:rPr>
      </w:pPr>
      <w:r>
        <w:rPr>
          <w:rFonts w:hint="eastAsia"/>
          <w:highlight w:val="none"/>
        </w:rPr>
        <w:t>12.2对于没有提出澄清又参与了该项目谈判应答的供应商将被视为完全认同该竞争性谈判文件（含澄清纪要），谈判应答截止期后不再受理针对竞争性谈判文件的相关质疑或投诉。</w:t>
      </w:r>
    </w:p>
    <w:p>
      <w:pPr>
        <w:tabs>
          <w:tab w:val="clear" w:pos="426"/>
        </w:tabs>
        <w:rPr>
          <w:highlight w:val="none"/>
        </w:rPr>
      </w:pPr>
      <w:r>
        <w:rPr>
          <w:rFonts w:hint="eastAsia"/>
          <w:highlight w:val="none"/>
        </w:rPr>
        <w:t>12.3 对竞争性谈判文件中描述有歧意或前后不一致的地方，谈判小组有权进行评判，但对同一条款的评判应适用于每个供应商。</w:t>
      </w:r>
    </w:p>
    <w:p>
      <w:pPr>
        <w:tabs>
          <w:tab w:val="clear" w:pos="426"/>
        </w:tabs>
        <w:rPr>
          <w:highlight w:val="none"/>
        </w:rPr>
      </w:pPr>
      <w:r>
        <w:rPr>
          <w:highlight w:val="none"/>
        </w:rPr>
        <w:t>1</w:t>
      </w:r>
      <w:r>
        <w:rPr>
          <w:rFonts w:hint="eastAsia"/>
          <w:highlight w:val="none"/>
        </w:rPr>
        <w:t>3.竞争性谈判文件的修改</w:t>
      </w:r>
      <w:bookmarkEnd w:id="125"/>
      <w:bookmarkEnd w:id="126"/>
      <w:bookmarkEnd w:id="127"/>
      <w:bookmarkEnd w:id="128"/>
      <w:bookmarkEnd w:id="129"/>
      <w:bookmarkEnd w:id="130"/>
      <w:bookmarkEnd w:id="131"/>
    </w:p>
    <w:p>
      <w:pPr>
        <w:tabs>
          <w:tab w:val="clear" w:pos="426"/>
        </w:tabs>
        <w:rPr>
          <w:highlight w:val="none"/>
        </w:rPr>
      </w:pPr>
      <w:bookmarkStart w:id="132" w:name="bt投标文件"/>
      <w:bookmarkEnd w:id="132"/>
      <w:bookmarkStart w:id="133" w:name="_Toc101074879"/>
      <w:bookmarkStart w:id="134" w:name="_Toc73517652"/>
      <w:bookmarkStart w:id="135" w:name="_Toc73521648"/>
      <w:bookmarkStart w:id="136" w:name="_Toc73518130"/>
      <w:bookmarkStart w:id="137" w:name="_Toc73521560"/>
      <w:bookmarkStart w:id="138" w:name="_Toc100052377"/>
      <w:r>
        <w:rPr>
          <w:highlight w:val="none"/>
        </w:rPr>
        <w:t>1</w:t>
      </w:r>
      <w:r>
        <w:rPr>
          <w:rFonts w:hint="eastAsia"/>
          <w:highlight w:val="none"/>
        </w:rPr>
        <w:t>3.1竞争性谈判文件发出后，在谈判应答截止日期前任何时候，确需要变更竞争性谈判内容的，采购代理机构可主动地或在解答供应商提出的澄清问题时对竞争性谈判文件进行修改；</w:t>
      </w:r>
    </w:p>
    <w:p>
      <w:pPr>
        <w:tabs>
          <w:tab w:val="clear" w:pos="426"/>
        </w:tabs>
        <w:rPr>
          <w:highlight w:val="none"/>
        </w:rPr>
      </w:pPr>
      <w:r>
        <w:rPr>
          <w:highlight w:val="none"/>
        </w:rPr>
        <w:t>1</w:t>
      </w:r>
      <w:r>
        <w:rPr>
          <w:rFonts w:hint="eastAsia"/>
          <w:highlight w:val="none"/>
        </w:rPr>
        <w:t>3.2竞争性谈判文件的修改以书面形式（包括网站公开发布方式）发送给所有供应商，竞争性谈判文件的修改内容作为竞争性谈判文件的组成部分，并具有约束力。</w:t>
      </w:r>
    </w:p>
    <w:p>
      <w:pPr>
        <w:tabs>
          <w:tab w:val="clear" w:pos="426"/>
        </w:tabs>
        <w:rPr>
          <w:highlight w:val="none"/>
        </w:rPr>
      </w:pPr>
      <w:r>
        <w:rPr>
          <w:highlight w:val="none"/>
        </w:rPr>
        <w:t>1</w:t>
      </w:r>
      <w:r>
        <w:rPr>
          <w:rFonts w:hint="eastAsia"/>
          <w:highlight w:val="none"/>
        </w:rPr>
        <w:t>3.3竞争性谈判文件、竞争性谈判文件澄清（答疑）纪要、竞争性谈判文件修改补充通知内容均以书面（包括网站公开发布方式）明确的内容为准。当竞争性谈判文件、修改补充通知、澄清（答疑）纪要内容相互矛盾时，以最后发出的通知（或纪要）或修改文件为准；</w:t>
      </w:r>
    </w:p>
    <w:p>
      <w:pPr>
        <w:tabs>
          <w:tab w:val="clear" w:pos="426"/>
        </w:tabs>
        <w:rPr>
          <w:highlight w:val="none"/>
        </w:rPr>
      </w:pPr>
      <w:r>
        <w:rPr>
          <w:highlight w:val="none"/>
        </w:rPr>
        <w:t>1</w:t>
      </w:r>
      <w:r>
        <w:rPr>
          <w:rFonts w:hint="eastAsia"/>
          <w:highlight w:val="none"/>
        </w:rPr>
        <w:t>3.4采购代理机构保证竞争性谈判文件澄清（答疑）纪要和竞争性谈判文件修改补充通知在谈判应答截止时间前以网站公开发布形式或书面形式发送给所有供应商。为使供应商在编写谈判应答文件时有充分时间对竞争性谈判文件的修改部分进行研究，采购代理机构可以酌情延长递交谈判应答文件的截止日期，具体时间将在修改补充通知中明确。</w:t>
      </w:r>
    </w:p>
    <w:p>
      <w:pPr>
        <w:pStyle w:val="5"/>
        <w:tabs>
          <w:tab w:val="clear" w:pos="426"/>
        </w:tabs>
        <w:rPr>
          <w:highlight w:val="none"/>
        </w:rPr>
      </w:pPr>
      <w:bookmarkStart w:id="139" w:name="_Toc432592823"/>
      <w:bookmarkStart w:id="140" w:name="_Toc398220531"/>
      <w:bookmarkStart w:id="141" w:name="_Toc3771"/>
      <w:r>
        <w:rPr>
          <w:rFonts w:hint="eastAsia"/>
          <w:highlight w:val="none"/>
        </w:rPr>
        <w:t>第三章 谈判应答文件</w:t>
      </w:r>
      <w:bookmarkEnd w:id="133"/>
      <w:bookmarkEnd w:id="134"/>
      <w:bookmarkEnd w:id="135"/>
      <w:bookmarkEnd w:id="136"/>
      <w:bookmarkEnd w:id="137"/>
      <w:bookmarkEnd w:id="138"/>
      <w:r>
        <w:rPr>
          <w:rFonts w:hint="eastAsia"/>
          <w:highlight w:val="none"/>
        </w:rPr>
        <w:t>的编制与递交</w:t>
      </w:r>
      <w:bookmarkEnd w:id="139"/>
      <w:bookmarkEnd w:id="140"/>
      <w:bookmarkEnd w:id="141"/>
    </w:p>
    <w:p>
      <w:pPr>
        <w:tabs>
          <w:tab w:val="clear" w:pos="426"/>
        </w:tabs>
        <w:rPr>
          <w:highlight w:val="none"/>
        </w:rPr>
      </w:pPr>
      <w:bookmarkStart w:id="142" w:name="_Toc60631634"/>
      <w:bookmarkStart w:id="143" w:name="_Toc73521561"/>
      <w:bookmarkStart w:id="144" w:name="_Toc73518131"/>
      <w:bookmarkStart w:id="145" w:name="_Toc73517653"/>
      <w:bookmarkStart w:id="146" w:name="_Toc73521649"/>
      <w:bookmarkStart w:id="147" w:name="_Toc60560639"/>
      <w:bookmarkStart w:id="148" w:name="_Toc100052378"/>
      <w:r>
        <w:rPr>
          <w:rFonts w:hint="eastAsia"/>
          <w:highlight w:val="none"/>
        </w:rPr>
        <w:t>14.谈判应答文件的语言及度量单位</w:t>
      </w:r>
      <w:bookmarkEnd w:id="142"/>
      <w:bookmarkEnd w:id="143"/>
      <w:bookmarkEnd w:id="144"/>
      <w:bookmarkEnd w:id="145"/>
      <w:bookmarkEnd w:id="146"/>
      <w:bookmarkEnd w:id="147"/>
      <w:bookmarkEnd w:id="148"/>
    </w:p>
    <w:p>
      <w:pPr>
        <w:tabs>
          <w:tab w:val="clear" w:pos="426"/>
        </w:tabs>
        <w:rPr>
          <w:highlight w:val="none"/>
        </w:rPr>
      </w:pPr>
      <w:r>
        <w:rPr>
          <w:rFonts w:hint="eastAsia"/>
          <w:highlight w:val="none"/>
        </w:rPr>
        <w:t>14.1 供应商与采购代理机构之间与谈判应答有关的所有往来通知、函件和谈判应答文件均用中文表述。供应商随谈判应答文件提供的证明文件和资料可以为其它语言，但必须附中文译文。翻译的中文资料与外文资料如果出现差异时，以中文为准，但翻译错误的除外。</w:t>
      </w:r>
    </w:p>
    <w:p>
      <w:pPr>
        <w:tabs>
          <w:tab w:val="clear" w:pos="426"/>
        </w:tabs>
        <w:rPr>
          <w:highlight w:val="none"/>
        </w:rPr>
      </w:pPr>
      <w:r>
        <w:rPr>
          <w:rFonts w:hint="eastAsia"/>
          <w:highlight w:val="none"/>
        </w:rPr>
        <w:t>14.2 除技术规范另有规定外，谈判应答文件使用的度量单位，均采用中华人民共和国法定计量单位。</w:t>
      </w:r>
    </w:p>
    <w:p>
      <w:pPr>
        <w:tabs>
          <w:tab w:val="clear" w:pos="426"/>
        </w:tabs>
        <w:rPr>
          <w:highlight w:val="none"/>
        </w:rPr>
      </w:pPr>
      <w:bookmarkStart w:id="149" w:name="_Toc73517654"/>
      <w:bookmarkStart w:id="150" w:name="_Toc100052379"/>
      <w:bookmarkStart w:id="151" w:name="_Toc73518132"/>
      <w:bookmarkStart w:id="152" w:name="_Toc60560640"/>
      <w:bookmarkStart w:id="153" w:name="_Toc60631635"/>
      <w:bookmarkStart w:id="154" w:name="_Toc73521562"/>
      <w:bookmarkStart w:id="155" w:name="_Toc73521650"/>
      <w:r>
        <w:rPr>
          <w:rFonts w:hint="eastAsia"/>
          <w:highlight w:val="none"/>
        </w:rPr>
        <w:t>15.谈判应答文件的组成</w:t>
      </w:r>
      <w:bookmarkEnd w:id="149"/>
      <w:bookmarkEnd w:id="150"/>
      <w:bookmarkEnd w:id="151"/>
      <w:bookmarkEnd w:id="152"/>
      <w:bookmarkEnd w:id="153"/>
      <w:bookmarkEnd w:id="154"/>
      <w:bookmarkEnd w:id="155"/>
    </w:p>
    <w:p>
      <w:pPr>
        <w:tabs>
          <w:tab w:val="clear" w:pos="426"/>
        </w:tabs>
        <w:rPr>
          <w:highlight w:val="none"/>
        </w:rPr>
      </w:pPr>
      <w:r>
        <w:rPr>
          <w:rFonts w:hint="eastAsia"/>
          <w:highlight w:val="none"/>
        </w:rPr>
        <w:t>具体内容请详见本项目专用条款的相关内容。</w:t>
      </w:r>
      <w:bookmarkStart w:id="156" w:name="_Toc60560641"/>
      <w:bookmarkStart w:id="157" w:name="_Toc73521651"/>
      <w:bookmarkStart w:id="158" w:name="投标文件的组成"/>
      <w:bookmarkStart w:id="159" w:name="_Toc60631636"/>
      <w:bookmarkStart w:id="160" w:name="_Toc73521563"/>
      <w:bookmarkStart w:id="161" w:name="_Toc73518133"/>
      <w:bookmarkStart w:id="162" w:name="_Toc73517655"/>
    </w:p>
    <w:p>
      <w:pPr>
        <w:tabs>
          <w:tab w:val="clear" w:pos="426"/>
        </w:tabs>
        <w:rPr>
          <w:highlight w:val="none"/>
        </w:rPr>
      </w:pPr>
      <w:r>
        <w:rPr>
          <w:rFonts w:hint="eastAsia"/>
          <w:highlight w:val="none"/>
        </w:rPr>
        <w:t>16. 谈判应答文件格式</w:t>
      </w:r>
    </w:p>
    <w:p>
      <w:pPr>
        <w:tabs>
          <w:tab w:val="clear" w:pos="426"/>
        </w:tabs>
        <w:rPr>
          <w:highlight w:val="none"/>
        </w:rPr>
      </w:pPr>
      <w:r>
        <w:rPr>
          <w:rFonts w:hint="eastAsia"/>
          <w:highlight w:val="none"/>
        </w:rPr>
        <w:t>16</w:t>
      </w:r>
      <w:r>
        <w:rPr>
          <w:highlight w:val="none"/>
        </w:rPr>
        <w:t>.1</w:t>
      </w:r>
      <w:r>
        <w:rPr>
          <w:rFonts w:hint="eastAsia"/>
          <w:highlight w:val="none"/>
        </w:rPr>
        <w:t>谈判应答文件包括本通用条款第15条中规定的内容。如竞争性谈判文件提供了谈判应答文件格式，则供应商提交的谈判应答文件必须毫无例外地使用竞争性谈判文件所提供的相应格式并统一使用A4篇幅（表格可以按同样格式扩展）。</w:t>
      </w:r>
    </w:p>
    <w:bookmarkEnd w:id="156"/>
    <w:bookmarkEnd w:id="157"/>
    <w:bookmarkEnd w:id="158"/>
    <w:bookmarkEnd w:id="159"/>
    <w:bookmarkEnd w:id="160"/>
    <w:bookmarkEnd w:id="161"/>
    <w:bookmarkEnd w:id="162"/>
    <w:p>
      <w:pPr>
        <w:tabs>
          <w:tab w:val="clear" w:pos="426"/>
        </w:tabs>
        <w:rPr>
          <w:highlight w:val="none"/>
        </w:rPr>
      </w:pPr>
      <w:bookmarkStart w:id="163" w:name="_Toc73521565"/>
      <w:bookmarkStart w:id="164" w:name="_Toc73518135"/>
      <w:bookmarkStart w:id="165" w:name="_Toc60560643"/>
      <w:bookmarkStart w:id="166" w:name="_Toc73517657"/>
      <w:bookmarkStart w:id="167" w:name="_Toc60631638"/>
      <w:bookmarkStart w:id="168" w:name="_Toc73521653"/>
      <w:bookmarkStart w:id="169" w:name="_Toc100052382"/>
      <w:r>
        <w:rPr>
          <w:rFonts w:hint="eastAsia"/>
          <w:highlight w:val="none"/>
        </w:rPr>
        <w:t>17.谈判应答货币</w:t>
      </w:r>
      <w:bookmarkEnd w:id="163"/>
      <w:bookmarkEnd w:id="164"/>
      <w:bookmarkEnd w:id="165"/>
      <w:bookmarkEnd w:id="166"/>
      <w:bookmarkEnd w:id="167"/>
      <w:bookmarkEnd w:id="168"/>
      <w:bookmarkEnd w:id="169"/>
    </w:p>
    <w:p>
      <w:pPr>
        <w:tabs>
          <w:tab w:val="clear" w:pos="426"/>
        </w:tabs>
        <w:rPr>
          <w:highlight w:val="none"/>
        </w:rPr>
      </w:pPr>
      <w:r>
        <w:rPr>
          <w:rFonts w:hint="eastAsia"/>
          <w:highlight w:val="none"/>
        </w:rPr>
        <w:t>本项目的谈判应答应以人民币计。</w:t>
      </w:r>
    </w:p>
    <w:p>
      <w:pPr>
        <w:widowControl w:val="0"/>
        <w:shd w:val="clear" w:color="auto" w:fill="auto"/>
        <w:tabs>
          <w:tab w:val="clear" w:pos="426"/>
        </w:tabs>
        <w:autoSpaceDE w:val="0"/>
        <w:autoSpaceDN w:val="0"/>
        <w:rPr>
          <w:highlight w:val="none"/>
        </w:rPr>
      </w:pPr>
      <w:r>
        <w:rPr>
          <w:rFonts w:hint="eastAsia"/>
          <w:highlight w:val="none"/>
        </w:rPr>
        <w:t>18. 证明供应商合格和资格的文件</w:t>
      </w:r>
    </w:p>
    <w:p>
      <w:pPr>
        <w:widowControl w:val="0"/>
        <w:shd w:val="clear" w:color="auto" w:fill="auto"/>
        <w:tabs>
          <w:tab w:val="clear" w:pos="426"/>
        </w:tabs>
        <w:autoSpaceDE w:val="0"/>
        <w:autoSpaceDN w:val="0"/>
        <w:rPr>
          <w:rFonts w:cs="黑体"/>
          <w:b/>
          <w:bCs/>
          <w:szCs w:val="21"/>
          <w:highlight w:val="none"/>
        </w:rPr>
      </w:pPr>
      <w:r>
        <w:rPr>
          <w:rFonts w:hint="eastAsia"/>
          <w:szCs w:val="21"/>
          <w:highlight w:val="none"/>
        </w:rPr>
        <w:t xml:space="preserve">18.1 </w:t>
      </w:r>
      <w:r>
        <w:rPr>
          <w:rFonts w:hint="eastAsia"/>
          <w:szCs w:val="21"/>
          <w:highlight w:val="none"/>
          <w:lang w:eastAsia="zh-TW"/>
        </w:rPr>
        <w:t>供应商应提交证明其有资格参加谈判应答和成交后有能力履行合同的文件</w:t>
      </w:r>
      <w:r>
        <w:rPr>
          <w:rFonts w:hint="eastAsia"/>
          <w:szCs w:val="21"/>
          <w:highlight w:val="none"/>
        </w:rPr>
        <w:t>，</w:t>
      </w:r>
      <w:r>
        <w:rPr>
          <w:rFonts w:hint="eastAsia"/>
          <w:szCs w:val="21"/>
          <w:highlight w:val="none"/>
          <w:lang w:eastAsia="zh-TW"/>
        </w:rPr>
        <w:t>并作为其谈判应答文件的一部分。如果供应商为联合体</w:t>
      </w:r>
      <w:r>
        <w:rPr>
          <w:rFonts w:hint="eastAsia"/>
          <w:szCs w:val="21"/>
          <w:highlight w:val="none"/>
        </w:rPr>
        <w:t>，</w:t>
      </w:r>
      <w:r>
        <w:rPr>
          <w:rFonts w:hint="eastAsia"/>
          <w:szCs w:val="21"/>
          <w:highlight w:val="none"/>
          <w:lang w:eastAsia="zh-TW"/>
        </w:rPr>
        <w:t>应提交联合体各方的资格证明文件、</w:t>
      </w:r>
      <w:r>
        <w:rPr>
          <w:rFonts w:hint="eastAsia"/>
          <w:szCs w:val="21"/>
          <w:highlight w:val="none"/>
        </w:rPr>
        <w:t>共同谈判应答协议</w:t>
      </w:r>
      <w:r>
        <w:rPr>
          <w:rFonts w:hint="eastAsia"/>
          <w:szCs w:val="21"/>
          <w:highlight w:val="none"/>
          <w:lang w:eastAsia="zh-TW"/>
        </w:rPr>
        <w:t>并注明</w:t>
      </w:r>
      <w:r>
        <w:rPr>
          <w:rFonts w:hint="eastAsia"/>
          <w:szCs w:val="21"/>
          <w:highlight w:val="none"/>
        </w:rPr>
        <w:t>主体方及各方拟承担的工作和责任。</w:t>
      </w:r>
      <w:r>
        <w:rPr>
          <w:rFonts w:hint="eastAsia"/>
          <w:szCs w:val="21"/>
          <w:highlight w:val="none"/>
          <w:lang w:eastAsia="zh-TW"/>
        </w:rPr>
        <w:t>否则</w:t>
      </w:r>
      <w:r>
        <w:rPr>
          <w:rFonts w:hint="eastAsia"/>
          <w:szCs w:val="21"/>
          <w:highlight w:val="none"/>
        </w:rPr>
        <w:t>，</w:t>
      </w:r>
      <w:r>
        <w:rPr>
          <w:rFonts w:hint="eastAsia"/>
          <w:szCs w:val="21"/>
          <w:highlight w:val="none"/>
          <w:lang w:eastAsia="zh-TW"/>
        </w:rPr>
        <w:t>将导致其谈判应答</w:t>
      </w:r>
      <w:r>
        <w:rPr>
          <w:rFonts w:hint="eastAsia"/>
          <w:szCs w:val="21"/>
          <w:highlight w:val="none"/>
        </w:rPr>
        <w:t>无效。</w:t>
      </w:r>
    </w:p>
    <w:p>
      <w:pPr>
        <w:widowControl w:val="0"/>
        <w:shd w:val="clear" w:color="auto" w:fill="auto"/>
        <w:tabs>
          <w:tab w:val="clear" w:pos="426"/>
        </w:tabs>
        <w:autoSpaceDE w:val="0"/>
        <w:autoSpaceDN w:val="0"/>
        <w:rPr>
          <w:szCs w:val="21"/>
          <w:highlight w:val="none"/>
          <w:lang w:eastAsia="zh-TW"/>
        </w:rPr>
      </w:pPr>
      <w:r>
        <w:rPr>
          <w:rFonts w:hint="eastAsia"/>
          <w:szCs w:val="21"/>
          <w:highlight w:val="none"/>
        </w:rPr>
        <w:t xml:space="preserve">18.2 </w:t>
      </w:r>
      <w:r>
        <w:rPr>
          <w:rFonts w:hint="eastAsia"/>
          <w:szCs w:val="21"/>
          <w:highlight w:val="none"/>
          <w:lang w:eastAsia="zh-TW"/>
        </w:rPr>
        <w:t>供应商提交的资格证明文件应证明其</w:t>
      </w:r>
      <w:r>
        <w:rPr>
          <w:rFonts w:hint="eastAsia"/>
          <w:szCs w:val="21"/>
          <w:highlight w:val="none"/>
        </w:rPr>
        <w:t>满足</w:t>
      </w:r>
      <w:r>
        <w:rPr>
          <w:rFonts w:hint="eastAsia"/>
          <w:szCs w:val="21"/>
          <w:highlight w:val="none"/>
          <w:lang w:eastAsia="zh-TW"/>
        </w:rPr>
        <w:t>本须知定义的合格供应商。</w:t>
      </w:r>
    </w:p>
    <w:p>
      <w:pPr>
        <w:tabs>
          <w:tab w:val="clear" w:pos="426"/>
        </w:tabs>
        <w:rPr>
          <w:highlight w:val="none"/>
        </w:rPr>
      </w:pPr>
      <w:r>
        <w:rPr>
          <w:rFonts w:hint="eastAsia"/>
          <w:highlight w:val="none"/>
        </w:rPr>
        <w:t>19.证明谈判应答文件谈判应答技术方案的合格性和符合竞争性谈判文件规定的文件要求</w:t>
      </w:r>
    </w:p>
    <w:p>
      <w:pPr>
        <w:tabs>
          <w:tab w:val="clear" w:pos="426"/>
        </w:tabs>
        <w:rPr>
          <w:highlight w:val="none"/>
        </w:rPr>
      </w:pPr>
      <w:r>
        <w:rPr>
          <w:rFonts w:hint="eastAsia"/>
          <w:highlight w:val="none"/>
        </w:rPr>
        <w:t>19</w:t>
      </w:r>
      <w:r>
        <w:rPr>
          <w:highlight w:val="none"/>
        </w:rPr>
        <w:t xml:space="preserve">.1 </w:t>
      </w:r>
      <w:r>
        <w:rPr>
          <w:rFonts w:hint="eastAsia"/>
          <w:highlight w:val="none"/>
        </w:rPr>
        <w:t>供应商应提交证明文件证明其谈判应答技术方案项下的货物、工程和服务的合格性符合竞争性谈判文件规定。该谈判应答技术方案及其证明文件作为谈判应答文件的一部分。</w:t>
      </w:r>
    </w:p>
    <w:p>
      <w:pPr>
        <w:tabs>
          <w:tab w:val="clear" w:pos="426"/>
        </w:tabs>
        <w:rPr>
          <w:highlight w:val="none"/>
        </w:rPr>
      </w:pPr>
      <w:r>
        <w:rPr>
          <w:highlight w:val="none"/>
        </w:rPr>
        <w:t>1</w:t>
      </w:r>
      <w:r>
        <w:rPr>
          <w:rFonts w:hint="eastAsia"/>
          <w:highlight w:val="none"/>
        </w:rPr>
        <w:t>9</w:t>
      </w:r>
      <w:r>
        <w:rPr>
          <w:highlight w:val="none"/>
        </w:rPr>
        <w:t xml:space="preserve">.2 </w:t>
      </w:r>
      <w:r>
        <w:rPr>
          <w:rFonts w:hint="eastAsia"/>
          <w:highlight w:val="none"/>
        </w:rPr>
        <w:t>供应商提供证明谈判应答技术方案与竞争性谈判文件的要求相一致的文件，可以是文字资料、图纸、数据或数码照片、制造商公布的产品说明书、产品彩页和我国政府机构出具的产品检验和核准证件等，以证明供应商响应的真实性。它包括并应符合以下要求：</w:t>
      </w:r>
    </w:p>
    <w:p>
      <w:pPr>
        <w:tabs>
          <w:tab w:val="clear" w:pos="426"/>
        </w:tabs>
        <w:rPr>
          <w:highlight w:val="none"/>
        </w:rPr>
      </w:pPr>
      <w:r>
        <w:rPr>
          <w:rFonts w:hint="eastAsia"/>
          <w:highlight w:val="none"/>
        </w:rPr>
        <w:t>19.2.1主要技术指标和性能的详细说明。</w:t>
      </w:r>
    </w:p>
    <w:p>
      <w:pPr>
        <w:tabs>
          <w:tab w:val="clear" w:pos="426"/>
        </w:tabs>
        <w:rPr>
          <w:highlight w:val="none"/>
        </w:rPr>
      </w:pPr>
      <w:r>
        <w:rPr>
          <w:rFonts w:hint="eastAsia"/>
          <w:highlight w:val="none"/>
        </w:rPr>
        <w:t>19.2.</w:t>
      </w:r>
      <w:r>
        <w:rPr>
          <w:highlight w:val="none"/>
        </w:rPr>
        <w:t>2</w:t>
      </w:r>
      <w:r>
        <w:rPr>
          <w:rFonts w:hint="eastAsia"/>
          <w:highlight w:val="none"/>
        </w:rPr>
        <w:t>谈判应答产品从采购单位开始使用至竞争性谈判文件中规定的周期内正常、连续地使用所必须的备件和专用工具清单，包括备件和专用工具的货源及现行价格。</w:t>
      </w:r>
    </w:p>
    <w:p>
      <w:pPr>
        <w:tabs>
          <w:tab w:val="clear" w:pos="426"/>
        </w:tabs>
        <w:rPr>
          <w:highlight w:val="none"/>
        </w:rPr>
      </w:pPr>
      <w:r>
        <w:rPr>
          <w:rFonts w:hint="eastAsia"/>
          <w:highlight w:val="none"/>
        </w:rPr>
        <w:t>19.2.</w:t>
      </w:r>
      <w:r>
        <w:rPr>
          <w:highlight w:val="none"/>
        </w:rPr>
        <w:t>3</w:t>
      </w:r>
      <w:r>
        <w:rPr>
          <w:rFonts w:hint="eastAsia"/>
          <w:highlight w:val="none"/>
        </w:rPr>
        <w:t>对照竞争性谈判文件技术规格，逐条说明谈判应答技术方案已对采购单位的技术规格做出了实质性的响应，或申明与技术规格条文的偏差和例外。供应商应详细说明谈判应答技术方案中产品的具体参数，不得照搬照抄竞争性谈判文件的技术要求。</w:t>
      </w:r>
    </w:p>
    <w:p>
      <w:pPr>
        <w:tabs>
          <w:tab w:val="clear" w:pos="426"/>
        </w:tabs>
        <w:rPr>
          <w:highlight w:val="none"/>
        </w:rPr>
      </w:pPr>
      <w:r>
        <w:rPr>
          <w:rFonts w:hint="eastAsia"/>
          <w:highlight w:val="none"/>
        </w:rPr>
        <w:t>19.2.4产品说明书或彩页应为制造商公布或出具的中文产品说明书或彩页；提供外文说明书或彩页的，必须同时提供加盖制造商公章的对应中文翻译说明，谈判依据以中文翻译内容为准，外文说明书或彩页仅供参考；产品说明书或彩页应能清晰的阅读、识别和判断；</w:t>
      </w:r>
    </w:p>
    <w:p>
      <w:pPr>
        <w:tabs>
          <w:tab w:val="clear" w:pos="426"/>
        </w:tabs>
        <w:rPr>
          <w:highlight w:val="none"/>
        </w:rPr>
      </w:pPr>
      <w:r>
        <w:rPr>
          <w:rFonts w:hint="eastAsia"/>
          <w:highlight w:val="none"/>
        </w:rPr>
        <w:t>19.2.5我国政府机构出具的产品检验和核准证件应为证件正面、背面和附件标注的全部具体内容；产品检验和核准证件应能清晰的阅读、识别和判断，提供原件复印件。</w:t>
      </w:r>
    </w:p>
    <w:p>
      <w:pPr>
        <w:tabs>
          <w:tab w:val="clear" w:pos="426"/>
        </w:tabs>
        <w:rPr>
          <w:highlight w:val="none"/>
        </w:rPr>
      </w:pPr>
      <w:r>
        <w:rPr>
          <w:rFonts w:hint="eastAsia"/>
          <w:highlight w:val="none"/>
        </w:rPr>
        <w:t>19.3相关资料不符合19.2款要求的，谈判小组有权认定为谈判应答技术方案不合格响应，其相关分数予以扣减或作谈判应答无效处理。</w:t>
      </w:r>
    </w:p>
    <w:p>
      <w:pPr>
        <w:tabs>
          <w:tab w:val="clear" w:pos="426"/>
        </w:tabs>
        <w:rPr>
          <w:highlight w:val="none"/>
        </w:rPr>
      </w:pPr>
      <w:r>
        <w:rPr>
          <w:rFonts w:hint="eastAsia"/>
          <w:highlight w:val="none"/>
        </w:rPr>
        <w:t>19.4谈判小组有权对以谋取成交为目的的技术规格模糊响应（如有意照搬照抄竞争性谈判文件的技术要求）或虚假响应予以认定。供应商上述行为一经发现或查实，除扣分或谈判应答无效外，采购代理机构可视情况报政府采购监督管理部门做进一步处理。</w:t>
      </w:r>
    </w:p>
    <w:p>
      <w:pPr>
        <w:tabs>
          <w:tab w:val="clear" w:pos="426"/>
        </w:tabs>
        <w:rPr>
          <w:highlight w:val="none"/>
        </w:rPr>
      </w:pPr>
      <w:r>
        <w:rPr>
          <w:highlight w:val="none"/>
        </w:rPr>
        <w:t>1</w:t>
      </w:r>
      <w:r>
        <w:rPr>
          <w:rFonts w:hint="eastAsia"/>
          <w:highlight w:val="none"/>
        </w:rPr>
        <w:t>9</w:t>
      </w:r>
      <w:r>
        <w:rPr>
          <w:highlight w:val="none"/>
        </w:rPr>
        <w:t>.</w:t>
      </w:r>
      <w:r>
        <w:rPr>
          <w:rFonts w:hint="eastAsia"/>
          <w:highlight w:val="none"/>
        </w:rPr>
        <w:t>5供应商在阐述上述第18.2时应注意采购单位在技术规格中指出的工艺、材料和设备的标准以及参照的牌号或分类号仅起说明作用，并没有任何限制性。供应商在谈判应答中可以选用替代标准、牌号或分类号，但这些替代要实质上满足竞争性谈判文件中技术规格的要求，是否满足要求，由谈判小组来评判。</w:t>
      </w:r>
    </w:p>
    <w:p>
      <w:pPr>
        <w:tabs>
          <w:tab w:val="clear" w:pos="426"/>
        </w:tabs>
        <w:rPr>
          <w:highlight w:val="none"/>
        </w:rPr>
      </w:pPr>
      <w:r>
        <w:rPr>
          <w:rFonts w:hint="eastAsia"/>
          <w:highlight w:val="none"/>
        </w:rPr>
        <w:t>19.6为保证公平公正，除非另有规定或说明，供应商对同一货物或服务谈判应答时，不得同时提供两套或两套以上的谈判应答方案。</w:t>
      </w:r>
    </w:p>
    <w:p>
      <w:pPr>
        <w:tabs>
          <w:tab w:val="clear" w:pos="426"/>
        </w:tabs>
        <w:rPr>
          <w:highlight w:val="none"/>
        </w:rPr>
      </w:pPr>
      <w:r>
        <w:rPr>
          <w:rFonts w:hint="eastAsia"/>
          <w:highlight w:val="none"/>
        </w:rPr>
        <w:t>20.谈判应答文件其他证明文件的要求</w:t>
      </w:r>
    </w:p>
    <w:p>
      <w:pPr>
        <w:tabs>
          <w:tab w:val="clear" w:pos="426"/>
        </w:tabs>
        <w:rPr>
          <w:highlight w:val="none"/>
        </w:rPr>
      </w:pPr>
      <w:r>
        <w:rPr>
          <w:rFonts w:hint="eastAsia"/>
          <w:highlight w:val="none"/>
        </w:rPr>
        <w:t>20.1对项目竞争性谈判文件《谈判信息》评分项中涉及的相关业绩、社保情况、纳税情况、银行资信等级和资金流状况等内容以及《谈判应答文件初审表》中涉及的资格证书，供应商应提供相关部门出具的证明材料原件复印件，原件备查。上述证明材料应为证件正面、背面和附件标注的全部具体内容；有关原件复印件应能清晰的阅读、识别和判断。若供应商未按要求提供证明材料或提供的是部分证明材料或提供不清晰的，谈判小组有权认定其谈判应答文件未对竞争性谈判文件有关需求进行响应，涉及资格性检查或符合性检查的予以谈判应答无效处理，涉及《谈判信息》打分项的则该项评分予以0分处理。</w:t>
      </w:r>
    </w:p>
    <w:p>
      <w:pPr>
        <w:tabs>
          <w:tab w:val="clear" w:pos="426"/>
        </w:tabs>
        <w:rPr>
          <w:highlight w:val="none"/>
        </w:rPr>
      </w:pPr>
      <w:r>
        <w:rPr>
          <w:rFonts w:hint="eastAsia"/>
          <w:highlight w:val="none"/>
        </w:rPr>
        <w:t>20.2本项目涉及提供的有关资质证书，若原有资质证书处于年审期间，供应商提供年审证明的可按原资质谈判应答；若供应商正在申报上一级别资质，在未获批准之前，仍按原级别资质谈判应答。</w:t>
      </w:r>
    </w:p>
    <w:p>
      <w:pPr>
        <w:tabs>
          <w:tab w:val="clear" w:pos="426"/>
        </w:tabs>
        <w:rPr>
          <w:highlight w:val="none"/>
        </w:rPr>
      </w:pPr>
      <w:bookmarkStart w:id="170" w:name="_Toc73521654"/>
      <w:bookmarkStart w:id="171" w:name="_Toc73521566"/>
      <w:bookmarkStart w:id="172" w:name="_Toc100052383"/>
      <w:bookmarkStart w:id="173" w:name="_Toc73517658"/>
      <w:bookmarkStart w:id="174" w:name="_Toc60631639"/>
      <w:bookmarkStart w:id="175" w:name="_Toc60560644"/>
      <w:bookmarkStart w:id="176" w:name="_Toc73518136"/>
      <w:r>
        <w:rPr>
          <w:rFonts w:hint="eastAsia"/>
          <w:highlight w:val="none"/>
        </w:rPr>
        <w:t>21.谈判应答有效期</w:t>
      </w:r>
      <w:bookmarkEnd w:id="170"/>
      <w:bookmarkEnd w:id="171"/>
      <w:bookmarkEnd w:id="172"/>
      <w:bookmarkEnd w:id="173"/>
      <w:bookmarkEnd w:id="174"/>
      <w:bookmarkEnd w:id="175"/>
      <w:bookmarkEnd w:id="176"/>
    </w:p>
    <w:p>
      <w:pPr>
        <w:tabs>
          <w:tab w:val="clear" w:pos="426"/>
        </w:tabs>
        <w:rPr>
          <w:highlight w:val="none"/>
        </w:rPr>
      </w:pPr>
      <w:r>
        <w:rPr>
          <w:rFonts w:hint="eastAsia"/>
          <w:highlight w:val="none"/>
        </w:rPr>
        <w:t>21.1 谈判应答有效期为从谈判应答截止之日算起的日历天数，具体见专用条款中谈判应答有效期的天数要求。在此期限内，所有谈判应答文件均保持有效；</w:t>
      </w:r>
    </w:p>
    <w:p>
      <w:pPr>
        <w:tabs>
          <w:tab w:val="clear" w:pos="426"/>
        </w:tabs>
        <w:rPr>
          <w:highlight w:val="none"/>
        </w:rPr>
      </w:pPr>
      <w:r>
        <w:rPr>
          <w:rFonts w:hint="eastAsia"/>
          <w:highlight w:val="none"/>
        </w:rPr>
        <w:t>21.2 在特殊的情况下，采购代理机构在原定的谈判应答有效期满之前，采购代理机构可以根据需要以书面形式（包括网站公开发布方式）向供应商提出延长谈判应答有效期的要求，对此要求供应商须以书面形式予以答复，供应商可以拒绝采购代理机构此项要求，而不被没收谈判应答保证金，其谈判应答在原谈判应答有效期满后不再有效。同意延长谈判应答有效期的供应商不能要求也不允许修改其谈判应答文件，但应当相应的延长谈判应答担保的有效期，在延长的谈判应答有效期内本通用条款第22条关于谈判应答保证金的退还与没收的规定仍然适用；</w:t>
      </w:r>
    </w:p>
    <w:p>
      <w:pPr>
        <w:tabs>
          <w:tab w:val="clear" w:pos="426"/>
        </w:tabs>
        <w:rPr>
          <w:highlight w:val="none"/>
        </w:rPr>
      </w:pPr>
      <w:r>
        <w:rPr>
          <w:rFonts w:hint="eastAsia"/>
          <w:highlight w:val="none"/>
        </w:rPr>
        <w:t>21</w:t>
      </w:r>
      <w:r>
        <w:rPr>
          <w:highlight w:val="none"/>
        </w:rPr>
        <w:t>.3</w:t>
      </w:r>
      <w:r>
        <w:rPr>
          <w:rFonts w:hint="eastAsia"/>
          <w:highlight w:val="none"/>
        </w:rPr>
        <w:t>成交单位的谈判应答书有效期，截止于完成本竞争性谈判文件规定的全部项目内容，并通过竣工验收及保修结束。</w:t>
      </w:r>
    </w:p>
    <w:p>
      <w:pPr>
        <w:tabs>
          <w:tab w:val="clear" w:pos="426"/>
        </w:tabs>
        <w:rPr>
          <w:highlight w:val="none"/>
        </w:rPr>
      </w:pPr>
      <w:bookmarkStart w:id="177" w:name="_Toc73518137"/>
      <w:bookmarkStart w:id="178" w:name="_Toc73521655"/>
      <w:bookmarkStart w:id="179" w:name="_Toc73521567"/>
      <w:bookmarkStart w:id="180" w:name="_Toc100052384"/>
      <w:bookmarkStart w:id="181" w:name="_Toc60631640"/>
      <w:bookmarkStart w:id="182" w:name="_Toc73517659"/>
      <w:bookmarkStart w:id="183" w:name="_Toc60560645"/>
      <w:r>
        <w:rPr>
          <w:rFonts w:hint="eastAsia"/>
          <w:highlight w:val="none"/>
        </w:rPr>
        <w:t>22.谈判应答</w:t>
      </w:r>
      <w:bookmarkEnd w:id="177"/>
      <w:bookmarkEnd w:id="178"/>
      <w:bookmarkEnd w:id="179"/>
      <w:bookmarkEnd w:id="180"/>
      <w:bookmarkEnd w:id="181"/>
      <w:bookmarkEnd w:id="182"/>
      <w:bookmarkEnd w:id="183"/>
      <w:r>
        <w:rPr>
          <w:rFonts w:hint="eastAsia"/>
          <w:highlight w:val="none"/>
        </w:rPr>
        <w:t>保证金</w:t>
      </w:r>
    </w:p>
    <w:p>
      <w:pPr>
        <w:tabs>
          <w:tab w:val="clear" w:pos="426"/>
        </w:tabs>
        <w:rPr>
          <w:highlight w:val="none"/>
        </w:rPr>
      </w:pPr>
      <w:bookmarkStart w:id="184" w:name="_Toc73521568"/>
      <w:bookmarkStart w:id="185" w:name="_Toc73518138"/>
      <w:bookmarkStart w:id="186" w:name="_Toc73521656"/>
      <w:bookmarkStart w:id="187" w:name="_Toc60631641"/>
      <w:bookmarkStart w:id="188" w:name="_Toc100052385"/>
      <w:bookmarkStart w:id="189" w:name="_Toc60560646"/>
      <w:bookmarkStart w:id="190" w:name="_Toc73517660"/>
      <w:r>
        <w:rPr>
          <w:rFonts w:hint="eastAsia"/>
          <w:highlight w:val="none"/>
        </w:rPr>
        <w:t>22.1谈判应答保证金的缴纳：</w:t>
      </w:r>
    </w:p>
    <w:p>
      <w:pPr>
        <w:tabs>
          <w:tab w:val="clear" w:pos="426"/>
        </w:tabs>
        <w:rPr>
          <w:highlight w:val="none"/>
        </w:rPr>
      </w:pPr>
      <w:r>
        <w:rPr>
          <w:rFonts w:hint="eastAsia"/>
          <w:highlight w:val="none"/>
        </w:rPr>
        <w:t>22.1.1缴纳谈判应答保证金的方式：参与谈判应答前须缴纳壹万元保证金，落标或成交项目完成后返还，参与谈判应答前未缴纳的，其谈判应答将不予受理。</w:t>
      </w:r>
    </w:p>
    <w:p>
      <w:pPr>
        <w:tabs>
          <w:tab w:val="clear" w:pos="426"/>
        </w:tabs>
        <w:rPr>
          <w:highlight w:val="none"/>
        </w:rPr>
      </w:pPr>
      <w:r>
        <w:rPr>
          <w:rFonts w:hint="eastAsia"/>
          <w:highlight w:val="none"/>
        </w:rPr>
        <w:t>22.1.2 若为重大项目，采购代理机构可自行决定另外收取谈判应答保证金，不受22</w:t>
      </w:r>
      <w:r>
        <w:rPr>
          <w:highlight w:val="none"/>
        </w:rPr>
        <w:t>.1</w:t>
      </w:r>
      <w:r>
        <w:rPr>
          <w:rFonts w:hint="eastAsia"/>
          <w:highlight w:val="none"/>
        </w:rPr>
        <w:t>.1款限制。是否另外收取谈判应答保证金，请见本竞争性谈判文件专用条款《对通用条款的补充内容》中的相关要求。</w:t>
      </w:r>
    </w:p>
    <w:p>
      <w:pPr>
        <w:tabs>
          <w:tab w:val="clear" w:pos="426"/>
        </w:tabs>
        <w:rPr>
          <w:szCs w:val="21"/>
          <w:highlight w:val="none"/>
        </w:rPr>
      </w:pPr>
      <w:r>
        <w:rPr>
          <w:rFonts w:hint="eastAsia"/>
          <w:szCs w:val="21"/>
          <w:highlight w:val="none"/>
        </w:rPr>
        <w:t>22.2</w:t>
      </w:r>
      <w:r>
        <w:rPr>
          <w:rFonts w:hint="eastAsia"/>
          <w:highlight w:val="none"/>
        </w:rPr>
        <w:t>谈判应答保证金是为了保护采购代理机构和采购单位免因供应商的行为而蒙受损失。采购代理机构和采购单位因供应商的行为受到损害时可根据本通用条款第</w:t>
      </w:r>
      <w:r>
        <w:rPr>
          <w:rFonts w:hint="eastAsia"/>
          <w:szCs w:val="21"/>
          <w:highlight w:val="none"/>
        </w:rPr>
        <w:t>22.3款</w:t>
      </w:r>
      <w:r>
        <w:rPr>
          <w:rFonts w:hint="eastAsia"/>
          <w:highlight w:val="none"/>
        </w:rPr>
        <w:t>的规定没收供应商的谈判应答保证金。</w:t>
      </w:r>
    </w:p>
    <w:p>
      <w:pPr>
        <w:tabs>
          <w:tab w:val="clear" w:pos="426"/>
        </w:tabs>
        <w:rPr>
          <w:highlight w:val="none"/>
        </w:rPr>
      </w:pPr>
      <w:r>
        <w:rPr>
          <w:rFonts w:hint="eastAsia"/>
          <w:highlight w:val="none"/>
        </w:rPr>
        <w:t>22.3如下列任何情况发生时，谈判应答保证金将被没收。</w:t>
      </w:r>
    </w:p>
    <w:p>
      <w:pPr>
        <w:tabs>
          <w:tab w:val="clear" w:pos="426"/>
        </w:tabs>
        <w:rPr>
          <w:highlight w:val="none"/>
        </w:rPr>
      </w:pPr>
      <w:r>
        <w:rPr>
          <w:rFonts w:hint="eastAsia"/>
          <w:highlight w:val="none"/>
        </w:rPr>
        <w:t>1）供应商在竞争性谈判文件中规定的谈判应答有效期内撤回其谈判应答；</w:t>
      </w:r>
    </w:p>
    <w:p>
      <w:pPr>
        <w:tabs>
          <w:tab w:val="clear" w:pos="426"/>
        </w:tabs>
        <w:rPr>
          <w:highlight w:val="none"/>
        </w:rPr>
      </w:pPr>
      <w:r>
        <w:rPr>
          <w:rFonts w:hint="eastAsia"/>
          <w:highlight w:val="none"/>
        </w:rPr>
        <w:t>2）成交人在规定期限内未能根据本项通用条款第47条规定签订合同；</w:t>
      </w:r>
    </w:p>
    <w:p>
      <w:pPr>
        <w:tabs>
          <w:tab w:val="clear" w:pos="426"/>
        </w:tabs>
        <w:rPr>
          <w:highlight w:val="none"/>
        </w:rPr>
      </w:pPr>
      <w:r>
        <w:rPr>
          <w:rFonts w:hint="eastAsia"/>
          <w:highlight w:val="none"/>
        </w:rPr>
        <w:t>3）供应商提供虚假谈判应答文件或虚假补充文件：</w:t>
      </w:r>
    </w:p>
    <w:p>
      <w:pPr>
        <w:tabs>
          <w:tab w:val="clear" w:pos="426"/>
        </w:tabs>
        <w:rPr>
          <w:highlight w:val="none"/>
        </w:rPr>
      </w:pPr>
      <w:r>
        <w:rPr>
          <w:rFonts w:hint="eastAsia"/>
          <w:highlight w:val="none"/>
        </w:rPr>
        <w:t>4）供应商以谋取成交为目的的技术规格模糊响应（如有意照搬照抄竞争性谈判文件的技术要求）或虚假响应的；</w:t>
      </w:r>
    </w:p>
    <w:p>
      <w:pPr>
        <w:tabs>
          <w:tab w:val="clear" w:pos="426"/>
        </w:tabs>
        <w:rPr>
          <w:highlight w:val="none"/>
        </w:rPr>
      </w:pPr>
      <w:r>
        <w:rPr>
          <w:rFonts w:hint="eastAsia"/>
          <w:highlight w:val="none"/>
        </w:rPr>
        <w:t>5）供应商质疑投诉提供虚假情况。</w:t>
      </w:r>
    </w:p>
    <w:p>
      <w:pPr>
        <w:tabs>
          <w:tab w:val="clear" w:pos="426"/>
        </w:tabs>
        <w:rPr>
          <w:highlight w:val="none"/>
        </w:rPr>
      </w:pPr>
      <w:r>
        <w:rPr>
          <w:rFonts w:hint="eastAsia"/>
          <w:highlight w:val="none"/>
        </w:rPr>
        <w:t>22.4谈判应答保证金账户信息：</w:t>
      </w:r>
    </w:p>
    <w:p>
      <w:pPr>
        <w:tabs>
          <w:tab w:val="clear" w:pos="426"/>
        </w:tabs>
        <w:rPr>
          <w:highlight w:val="none"/>
        </w:rPr>
      </w:pPr>
      <w:r>
        <w:rPr>
          <w:rFonts w:hint="eastAsia"/>
          <w:highlight w:val="none"/>
        </w:rPr>
        <w:t>具体要求请详见本项目专用条款的相关内容。</w:t>
      </w:r>
    </w:p>
    <w:p>
      <w:pPr>
        <w:tabs>
          <w:tab w:val="clear" w:pos="426"/>
        </w:tabs>
        <w:rPr>
          <w:highlight w:val="none"/>
        </w:rPr>
      </w:pPr>
      <w:r>
        <w:rPr>
          <w:rFonts w:hint="eastAsia"/>
          <w:highlight w:val="none"/>
        </w:rPr>
        <w:t>23.供应商的替代方案</w:t>
      </w:r>
      <w:bookmarkEnd w:id="184"/>
      <w:bookmarkEnd w:id="185"/>
      <w:bookmarkEnd w:id="186"/>
      <w:bookmarkEnd w:id="187"/>
      <w:bookmarkEnd w:id="188"/>
      <w:bookmarkEnd w:id="189"/>
      <w:bookmarkEnd w:id="190"/>
    </w:p>
    <w:p>
      <w:pPr>
        <w:tabs>
          <w:tab w:val="clear" w:pos="426"/>
        </w:tabs>
        <w:rPr>
          <w:highlight w:val="none"/>
        </w:rPr>
      </w:pPr>
      <w:r>
        <w:rPr>
          <w:rFonts w:hint="eastAsia"/>
          <w:highlight w:val="none"/>
        </w:rPr>
        <w:t>23.1供应商所提交的谈判应答文件应完全满足竞争性谈判文件（包括图纸和技术规范所示的基本技术设计）的要求。除非竞争性谈判的项目明确允许供应商提交替代方案，否则供应商有关替代方案的条款将不予考虑。</w:t>
      </w:r>
    </w:p>
    <w:p>
      <w:pPr>
        <w:tabs>
          <w:tab w:val="clear" w:pos="426"/>
        </w:tabs>
        <w:rPr>
          <w:highlight w:val="none"/>
        </w:rPr>
      </w:pPr>
      <w:r>
        <w:rPr>
          <w:rFonts w:hint="eastAsia"/>
          <w:highlight w:val="none"/>
        </w:rPr>
        <w:t>23.2 如果允许供应商提交替代方案，则准备提交替代方案的供应商除应提交一份满足竞争性谈判文件（包括图纸和技术规范所示的基本技术设计）要求的谈判应答文件外，还应提交需评审其替代方案所需的全部资料，包括项目方案书、技术规范、替代方案报价书、所建议的项目方案及有关的其它详细资料。</w:t>
      </w:r>
      <w:bookmarkStart w:id="191" w:name="_Toc100052391"/>
      <w:bookmarkStart w:id="192" w:name="_Toc73521574"/>
      <w:bookmarkStart w:id="193" w:name="_Toc73518144"/>
      <w:bookmarkStart w:id="194" w:name="_Toc101074881"/>
      <w:bookmarkStart w:id="195" w:name="_Toc73521662"/>
      <w:bookmarkStart w:id="196" w:name="_Toc73517666"/>
    </w:p>
    <w:p>
      <w:pPr>
        <w:tabs>
          <w:tab w:val="clear" w:pos="426"/>
        </w:tabs>
        <w:rPr>
          <w:highlight w:val="none"/>
        </w:rPr>
      </w:pPr>
      <w:bookmarkStart w:id="197" w:name="_Toc148954464"/>
      <w:bookmarkStart w:id="198" w:name="_Toc134852021"/>
      <w:bookmarkStart w:id="199" w:name="_Toc201401576"/>
      <w:bookmarkStart w:id="200" w:name="_Toc98817934"/>
      <w:bookmarkStart w:id="201" w:name="_Toc148780238"/>
      <w:bookmarkStart w:id="202" w:name="_Toc188869280"/>
      <w:bookmarkStart w:id="203" w:name="_Toc157847820"/>
      <w:bookmarkStart w:id="204" w:name="_Toc163530302"/>
      <w:bookmarkStart w:id="205" w:name="_Toc148413300"/>
      <w:bookmarkStart w:id="206" w:name="_Toc201997835"/>
      <w:bookmarkStart w:id="207" w:name="_Toc135666628"/>
      <w:bookmarkStart w:id="208" w:name="_Toc148954859"/>
      <w:bookmarkStart w:id="209" w:name="_Toc187729580"/>
      <w:bookmarkStart w:id="210" w:name="_Toc135666815"/>
      <w:bookmarkStart w:id="211" w:name="_Toc148778157"/>
      <w:bookmarkStart w:id="212" w:name="_Toc143658455"/>
      <w:bookmarkStart w:id="213" w:name="_Toc148329801"/>
      <w:bookmarkStart w:id="214" w:name="_Toc148779952"/>
      <w:bookmarkStart w:id="215" w:name="_Toc201401384"/>
      <w:r>
        <w:rPr>
          <w:rFonts w:hint="eastAsia"/>
          <w:highlight w:val="none"/>
        </w:rPr>
        <w:t>24.谈判应答文件的密封、标记</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Pr>
          <w:rFonts w:hint="eastAsia"/>
          <w:highlight w:val="none"/>
        </w:rPr>
        <w:t>和装订</w:t>
      </w:r>
    </w:p>
    <w:p>
      <w:pPr>
        <w:widowControl w:val="0"/>
        <w:shd w:val="clear" w:color="auto" w:fill="auto"/>
        <w:tabs>
          <w:tab w:val="clear" w:pos="426"/>
        </w:tabs>
        <w:autoSpaceDE w:val="0"/>
        <w:autoSpaceDN w:val="0"/>
        <w:rPr>
          <w:highlight w:val="none"/>
        </w:rPr>
      </w:pPr>
      <w:r>
        <w:rPr>
          <w:rFonts w:hint="eastAsia"/>
          <w:highlight w:val="none"/>
        </w:rPr>
        <w:t>24.1供应商应按本谈判应答须知有关规定编制“前附表”规定份数的谈判应答文件。正本和副本如有不一致之处，以正本为准。谈判应答文件均应使用不褪色的墨打印或编制（书面），字迹应清晰易于辨认。谈判应答文件要求编制正副本的，应在谈判应答文件封面注明</w:t>
      </w:r>
      <w:r>
        <w:rPr>
          <w:rFonts w:hint="eastAsia"/>
          <w:szCs w:val="21"/>
          <w:highlight w:val="none"/>
        </w:rPr>
        <w:t>目编号、竞争性谈判项目名称及</w:t>
      </w:r>
      <w:r>
        <w:rPr>
          <w:rFonts w:hint="eastAsia"/>
          <w:highlight w:val="none"/>
        </w:rPr>
        <w:t>“正本”或“副本”。正本和副本如有不一致之处，以正本为准。</w:t>
      </w:r>
      <w:r>
        <w:rPr>
          <w:rFonts w:hint="eastAsia"/>
          <w:szCs w:val="21"/>
          <w:highlight w:val="none"/>
        </w:rPr>
        <w:t>谈判应答文件的所有内容应按</w:t>
      </w:r>
      <w:r>
        <w:rPr>
          <w:szCs w:val="21"/>
          <w:highlight w:val="none"/>
        </w:rPr>
        <w:t>A4篇幅装订成一册，装订应牢固不可拆卸。</w:t>
      </w:r>
      <w:r>
        <w:rPr>
          <w:rFonts w:hint="eastAsia"/>
          <w:highlight w:val="none"/>
        </w:rPr>
        <w:t>装订好的谈判应答文件密封包装在一个外密封袋中，并在外密封袋上注明：</w:t>
      </w:r>
    </w:p>
    <w:p>
      <w:pPr>
        <w:tabs>
          <w:tab w:val="clear" w:pos="426"/>
        </w:tabs>
        <w:rPr>
          <w:highlight w:val="none"/>
        </w:rPr>
      </w:pPr>
      <w:r>
        <w:rPr>
          <w:rFonts w:hint="eastAsia"/>
          <w:highlight w:val="none"/>
        </w:rPr>
        <w:t>谈判应答文件</w:t>
      </w:r>
    </w:p>
    <w:p>
      <w:pPr>
        <w:tabs>
          <w:tab w:val="clear" w:pos="426"/>
        </w:tabs>
        <w:rPr>
          <w:highlight w:val="none"/>
        </w:rPr>
      </w:pPr>
      <w:r>
        <w:rPr>
          <w:rFonts w:hint="eastAsia"/>
          <w:highlight w:val="none"/>
        </w:rPr>
        <w:t>项目编号：</w:t>
      </w:r>
    </w:p>
    <w:p>
      <w:pPr>
        <w:tabs>
          <w:tab w:val="clear" w:pos="426"/>
        </w:tabs>
        <w:rPr>
          <w:highlight w:val="none"/>
        </w:rPr>
      </w:pPr>
      <w:r>
        <w:rPr>
          <w:rFonts w:hint="eastAsia"/>
          <w:highlight w:val="none"/>
        </w:rPr>
        <w:t>项目名称：</w:t>
      </w:r>
    </w:p>
    <w:p>
      <w:pPr>
        <w:tabs>
          <w:tab w:val="clear" w:pos="426"/>
        </w:tabs>
        <w:rPr>
          <w:highlight w:val="none"/>
        </w:rPr>
      </w:pPr>
      <w:r>
        <w:rPr>
          <w:rFonts w:hint="eastAsia"/>
          <w:highlight w:val="none"/>
        </w:rPr>
        <w:t>供应商名称（盖章）：</w:t>
      </w:r>
    </w:p>
    <w:p>
      <w:pPr>
        <w:tabs>
          <w:tab w:val="clear" w:pos="426"/>
        </w:tabs>
        <w:rPr>
          <w:highlight w:val="none"/>
        </w:rPr>
      </w:pPr>
      <w:r>
        <w:rPr>
          <w:rFonts w:hint="eastAsia"/>
          <w:highlight w:val="none"/>
        </w:rPr>
        <w:t>谈判应答截止时间：</w:t>
      </w:r>
      <w:r>
        <w:rPr>
          <w:rFonts w:hint="eastAsia"/>
          <w:highlight w:val="none"/>
          <w:u w:val="single"/>
        </w:rPr>
        <w:t xml:space="preserve">       年      月      日      时      分（前不得开封）。</w:t>
      </w:r>
    </w:p>
    <w:p>
      <w:pPr>
        <w:tabs>
          <w:tab w:val="clear" w:pos="426"/>
        </w:tabs>
        <w:rPr>
          <w:highlight w:val="none"/>
        </w:rPr>
      </w:pPr>
      <w:r>
        <w:rPr>
          <w:rFonts w:hint="eastAsia"/>
          <w:highlight w:val="none"/>
        </w:rPr>
        <w:t>24.2  所有谈判应答文件的密封袋的封口处均应加盖供应商公章。</w:t>
      </w:r>
    </w:p>
    <w:p>
      <w:pPr>
        <w:tabs>
          <w:tab w:val="clear" w:pos="426"/>
        </w:tabs>
        <w:rPr>
          <w:color w:val="000000"/>
          <w:szCs w:val="21"/>
          <w:highlight w:val="none"/>
        </w:rPr>
      </w:pPr>
      <w:r>
        <w:rPr>
          <w:rFonts w:hint="eastAsia"/>
          <w:highlight w:val="none"/>
        </w:rPr>
        <w:t xml:space="preserve">24.3  </w:t>
      </w:r>
      <w:r>
        <w:rPr>
          <w:rFonts w:hint="eastAsia"/>
          <w:color w:val="000000"/>
          <w:szCs w:val="21"/>
          <w:highlight w:val="none"/>
        </w:rPr>
        <w:t>谈判应答文件密封及封面，均应加盖供应商印章并经法定代表或其委托代理人签字或盖章。</w:t>
      </w:r>
    </w:p>
    <w:p>
      <w:pPr>
        <w:tabs>
          <w:tab w:val="clear" w:pos="426"/>
        </w:tabs>
        <w:rPr>
          <w:color w:val="000000"/>
          <w:szCs w:val="21"/>
          <w:highlight w:val="none"/>
        </w:rPr>
      </w:pPr>
      <w:r>
        <w:rPr>
          <w:rFonts w:hint="eastAsia"/>
          <w:color w:val="000000"/>
          <w:szCs w:val="21"/>
          <w:highlight w:val="none"/>
        </w:rPr>
        <w:t xml:space="preserve">24.4  </w:t>
      </w:r>
      <w:r>
        <w:rPr>
          <w:color w:val="000000"/>
          <w:szCs w:val="21"/>
          <w:highlight w:val="none"/>
        </w:rPr>
        <w:t>除供应商对错误处必须修改外，全套谈判应答文件应无涂改或行间插字，修改处应由供应商加盖供应商的校对章或由谈判应答文件签字人签字证明并加盖印章。</w:t>
      </w:r>
    </w:p>
    <w:p>
      <w:pPr>
        <w:tabs>
          <w:tab w:val="clear" w:pos="426"/>
        </w:tabs>
        <w:rPr>
          <w:highlight w:val="none"/>
        </w:rPr>
      </w:pPr>
      <w:r>
        <w:rPr>
          <w:rFonts w:hint="eastAsia"/>
          <w:highlight w:val="none"/>
        </w:rPr>
        <w:t>24.4  对于因谈判应答标识不清、装订不牢、密封不严等导致的不利后果由该供应商自负。</w:t>
      </w:r>
    </w:p>
    <w:p>
      <w:pPr>
        <w:tabs>
          <w:tab w:val="clear" w:pos="426"/>
        </w:tabs>
        <w:rPr>
          <w:color w:val="000000"/>
          <w:szCs w:val="21"/>
          <w:highlight w:val="none"/>
        </w:rPr>
      </w:pPr>
      <w:r>
        <w:rPr>
          <w:rFonts w:hint="eastAsia"/>
          <w:color w:val="000000"/>
          <w:szCs w:val="21"/>
          <w:highlight w:val="none"/>
        </w:rPr>
        <w:t>24.5谈判应答方应将谈判应答文件按24.1-24.4中的规定进行密封和标记后，按专用条款中采购公告注明的地址送至竞争性谈判机构。</w:t>
      </w:r>
    </w:p>
    <w:p>
      <w:pPr>
        <w:tabs>
          <w:tab w:val="clear" w:pos="426"/>
        </w:tabs>
        <w:rPr>
          <w:color w:val="000000"/>
          <w:szCs w:val="21"/>
          <w:highlight w:val="none"/>
        </w:rPr>
      </w:pPr>
      <w:r>
        <w:rPr>
          <w:rFonts w:hint="eastAsia"/>
          <w:color w:val="000000"/>
          <w:szCs w:val="21"/>
          <w:highlight w:val="none"/>
        </w:rPr>
        <w:t>24.6  邮寄、电报、电话、传真形式的谈判应答概不接受。</w:t>
      </w:r>
    </w:p>
    <w:p>
      <w:pPr>
        <w:tabs>
          <w:tab w:val="clear" w:pos="426"/>
        </w:tabs>
        <w:rPr>
          <w:b/>
          <w:bCs/>
          <w:color w:val="000000"/>
          <w:szCs w:val="21"/>
          <w:highlight w:val="none"/>
        </w:rPr>
      </w:pPr>
      <w:r>
        <w:rPr>
          <w:rFonts w:hint="eastAsia"/>
          <w:b/>
          <w:color w:val="000000"/>
          <w:szCs w:val="21"/>
          <w:highlight w:val="none"/>
        </w:rPr>
        <w:t>24.7</w:t>
      </w:r>
      <w:r>
        <w:rPr>
          <w:rFonts w:hint="eastAsia"/>
          <w:b/>
          <w:bCs/>
          <w:color w:val="000000"/>
          <w:szCs w:val="21"/>
          <w:highlight w:val="none"/>
        </w:rPr>
        <w:t>谈判应答文件电子版：电子光盘一张（谈判应答文件正本盖章后的彩色扫描件，扫描件要求为PDF格式），请在光盘上标明项目编号、项目名称及供应商名称。</w:t>
      </w:r>
    </w:p>
    <w:p>
      <w:pPr>
        <w:tabs>
          <w:tab w:val="clear" w:pos="426"/>
        </w:tabs>
        <w:rPr>
          <w:b/>
          <w:bCs/>
          <w:color w:val="000000"/>
          <w:szCs w:val="21"/>
          <w:highlight w:val="none"/>
        </w:rPr>
      </w:pPr>
      <w:r>
        <w:rPr>
          <w:rFonts w:hint="eastAsia"/>
          <w:color w:val="000000"/>
          <w:szCs w:val="21"/>
          <w:highlight w:val="none"/>
        </w:rPr>
        <w:t>24.8  供应商提供的谈判应答文件中相关证书、证件等资料必须保证真实、有效。谈判过程中，公证、评审委员会有权要求供应商提供相关原件进行验证。供应商不能及时提供的，视为无效资料。参加谈判初始报价及谈判仪式时，供应商应携带相关原件到场备查。</w:t>
      </w:r>
    </w:p>
    <w:p>
      <w:pPr>
        <w:tabs>
          <w:tab w:val="clear" w:pos="426"/>
        </w:tabs>
        <w:rPr>
          <w:color w:val="000000"/>
          <w:szCs w:val="21"/>
          <w:highlight w:val="none"/>
        </w:rPr>
      </w:pPr>
      <w:r>
        <w:rPr>
          <w:rFonts w:hint="eastAsia"/>
          <w:color w:val="000000"/>
          <w:szCs w:val="21"/>
          <w:highlight w:val="none"/>
        </w:rPr>
        <w:t>25.谈判应答截止时间</w:t>
      </w:r>
    </w:p>
    <w:p>
      <w:pPr>
        <w:tabs>
          <w:tab w:val="clear" w:pos="426"/>
        </w:tabs>
        <w:ind w:firstLine="424" w:firstLineChars="202"/>
        <w:rPr>
          <w:szCs w:val="21"/>
          <w:highlight w:val="none"/>
        </w:rPr>
      </w:pPr>
      <w:r>
        <w:rPr>
          <w:rFonts w:hint="eastAsia"/>
          <w:szCs w:val="21"/>
          <w:highlight w:val="none"/>
        </w:rPr>
        <w:t>采购代理机构在规定的地址收到谈判应答书的时间不得迟于“邀请竞争性谈判公告”所规定的时间。</w:t>
      </w:r>
    </w:p>
    <w:p>
      <w:pPr>
        <w:tabs>
          <w:tab w:val="clear" w:pos="426"/>
        </w:tabs>
        <w:rPr>
          <w:color w:val="000000"/>
          <w:szCs w:val="21"/>
          <w:highlight w:val="none"/>
        </w:rPr>
      </w:pPr>
      <w:r>
        <w:rPr>
          <w:rFonts w:hint="eastAsia"/>
          <w:color w:val="000000"/>
          <w:szCs w:val="21"/>
          <w:highlight w:val="none"/>
        </w:rPr>
        <w:t>26.迟交的谈判应答书</w:t>
      </w:r>
    </w:p>
    <w:p>
      <w:pPr>
        <w:tabs>
          <w:tab w:val="clear" w:pos="426"/>
        </w:tabs>
        <w:rPr>
          <w:color w:val="000000"/>
          <w:szCs w:val="21"/>
          <w:highlight w:val="none"/>
        </w:rPr>
      </w:pPr>
      <w:r>
        <w:rPr>
          <w:rFonts w:hint="eastAsia"/>
          <w:color w:val="000000"/>
          <w:szCs w:val="21"/>
          <w:highlight w:val="none"/>
        </w:rPr>
        <w:t xml:space="preserve">    按照本通用条款第25条规定，竞争性谈判机构将拒绝并原封退回在其规定的谈判应答截止期后收到的任何谈判应答书。</w:t>
      </w:r>
    </w:p>
    <w:p>
      <w:pPr>
        <w:tabs>
          <w:tab w:val="clear" w:pos="426"/>
        </w:tabs>
        <w:rPr>
          <w:highlight w:val="none"/>
        </w:rPr>
      </w:pPr>
      <w:r>
        <w:rPr>
          <w:rFonts w:hint="eastAsia"/>
          <w:highlight w:val="none"/>
        </w:rPr>
        <w:t>27.谈判应答文件的提交和谈判应答截止时谈判应答文件的数量要求</w:t>
      </w:r>
    </w:p>
    <w:p>
      <w:pPr>
        <w:tabs>
          <w:tab w:val="clear" w:pos="426"/>
        </w:tabs>
        <w:rPr>
          <w:highlight w:val="none"/>
        </w:rPr>
      </w:pPr>
      <w:r>
        <w:rPr>
          <w:rFonts w:hint="eastAsia"/>
          <w:highlight w:val="none"/>
        </w:rPr>
        <w:t>27.1  谈判应答截止时间和地点。供应商应根据“专用条款”的规定，在谈判应答截止时间前将谈判应答文件密封送达指定地点。未及时送达指定地点及不符合密封、标记、签章、装订要求的谈判应答文件采购代理机构将拒绝接收。</w:t>
      </w:r>
    </w:p>
    <w:p>
      <w:pPr>
        <w:tabs>
          <w:tab w:val="clear" w:pos="426"/>
        </w:tabs>
        <w:rPr>
          <w:highlight w:val="none"/>
        </w:rPr>
      </w:pPr>
      <w:r>
        <w:rPr>
          <w:rFonts w:hint="eastAsia"/>
          <w:highlight w:val="none"/>
        </w:rPr>
        <w:t xml:space="preserve">27.2  </w:t>
      </w:r>
      <w:r>
        <w:rPr>
          <w:highlight w:val="none"/>
        </w:rPr>
        <w:t>谈判应答截止时</w:t>
      </w:r>
      <w:r>
        <w:rPr>
          <w:rFonts w:hint="eastAsia"/>
          <w:highlight w:val="none"/>
        </w:rPr>
        <w:t>递</w:t>
      </w:r>
      <w:r>
        <w:rPr>
          <w:highlight w:val="none"/>
        </w:rPr>
        <w:t>交谈判应答的供应商数</w:t>
      </w:r>
      <w:r>
        <w:rPr>
          <w:rFonts w:hint="eastAsia"/>
          <w:highlight w:val="none"/>
        </w:rPr>
        <w:t>量未达到法定家数的，采购代理机构将按法律法规的规定暂停</w:t>
      </w:r>
      <w:r>
        <w:rPr>
          <w:highlight w:val="none"/>
        </w:rPr>
        <w:t>谈判初始报价和谈判程序</w:t>
      </w:r>
      <w:r>
        <w:rPr>
          <w:rFonts w:hint="eastAsia"/>
          <w:highlight w:val="none"/>
        </w:rPr>
        <w:t>。如导致竞争性谈判失败，采购人或采购代理机构将不负担因此给</w:t>
      </w:r>
      <w:r>
        <w:rPr>
          <w:highlight w:val="none"/>
        </w:rPr>
        <w:t>供应商</w:t>
      </w:r>
      <w:r>
        <w:rPr>
          <w:rFonts w:hint="eastAsia"/>
          <w:highlight w:val="none"/>
        </w:rPr>
        <w:t>造成的损失。</w:t>
      </w:r>
    </w:p>
    <w:p>
      <w:pPr>
        <w:tabs>
          <w:tab w:val="clear" w:pos="426"/>
        </w:tabs>
        <w:rPr>
          <w:highlight w:val="none"/>
        </w:rPr>
      </w:pPr>
      <w:bookmarkStart w:id="216" w:name="_Toc143658458"/>
      <w:bookmarkStart w:id="217" w:name="_Toc135666631"/>
      <w:bookmarkStart w:id="218" w:name="_Toc187729583"/>
      <w:bookmarkStart w:id="219" w:name="_Toc98817937"/>
      <w:bookmarkStart w:id="220" w:name="_Toc188869283"/>
      <w:bookmarkStart w:id="221" w:name="_Toc148780241"/>
      <w:bookmarkStart w:id="222" w:name="_Toc157847823"/>
      <w:bookmarkStart w:id="223" w:name="_Toc201401386"/>
      <w:bookmarkStart w:id="224" w:name="_Toc148954467"/>
      <w:bookmarkStart w:id="225" w:name="_Toc201997837"/>
      <w:bookmarkStart w:id="226" w:name="_Toc148779955"/>
      <w:bookmarkStart w:id="227" w:name="_Toc148329804"/>
      <w:bookmarkStart w:id="228" w:name="_Toc201401578"/>
      <w:bookmarkStart w:id="229" w:name="_Toc148778160"/>
      <w:bookmarkStart w:id="230" w:name="_Toc148954862"/>
      <w:bookmarkStart w:id="231" w:name="_Toc148413303"/>
      <w:bookmarkStart w:id="232" w:name="_Toc135666818"/>
      <w:bookmarkStart w:id="233" w:name="_Toc134852024"/>
      <w:bookmarkStart w:id="234" w:name="_Toc163530305"/>
      <w:r>
        <w:rPr>
          <w:rFonts w:hint="eastAsia"/>
          <w:highlight w:val="none"/>
        </w:rPr>
        <w:t>28.谈判应答文件的修改或撤回</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tabs>
          <w:tab w:val="clear" w:pos="426"/>
        </w:tabs>
        <w:rPr>
          <w:highlight w:val="none"/>
        </w:rPr>
      </w:pPr>
      <w:r>
        <w:rPr>
          <w:rFonts w:hint="eastAsia"/>
          <w:highlight w:val="none"/>
        </w:rPr>
        <w:t>28.1  供应商已提交谈判应答文件，规定的谈判应答</w:t>
      </w:r>
      <w:r>
        <w:rPr>
          <w:highlight w:val="none"/>
        </w:rPr>
        <w:t>截止</w:t>
      </w:r>
      <w:r>
        <w:rPr>
          <w:rFonts w:hint="eastAsia"/>
          <w:highlight w:val="none"/>
        </w:rPr>
        <w:t>时间还未到，供应商可提出对其谈判应答文件的修改或撤回。供应商须提交由供应商代表签名的修改或撤回的书面通知。</w:t>
      </w:r>
    </w:p>
    <w:p>
      <w:pPr>
        <w:tabs>
          <w:tab w:val="clear" w:pos="426"/>
        </w:tabs>
        <w:rPr>
          <w:highlight w:val="none"/>
        </w:rPr>
      </w:pPr>
      <w:r>
        <w:rPr>
          <w:rFonts w:hint="eastAsia"/>
          <w:highlight w:val="none"/>
        </w:rPr>
        <w:t>28.2  采购代理机构收到由供应商代表签名的修改或撤回的书面通知并确认后，供应商可对其谈判应答文件进行修改，或是撤回其谈判应答。</w:t>
      </w:r>
    </w:p>
    <w:p>
      <w:pPr>
        <w:tabs>
          <w:tab w:val="clear" w:pos="426"/>
        </w:tabs>
        <w:rPr>
          <w:highlight w:val="none"/>
        </w:rPr>
      </w:pPr>
      <w:bookmarkStart w:id="235" w:name="_Toc188869284"/>
      <w:r>
        <w:rPr>
          <w:rFonts w:hint="eastAsia"/>
          <w:highlight w:val="none"/>
        </w:rPr>
        <w:t>28.3  供应商的修改文件应按照本竞争性谈判文件的规定进行编制、密封、标记和提交，并在密封袋上注明“谈判应答修改”。</w:t>
      </w:r>
    </w:p>
    <w:p>
      <w:pPr>
        <w:tabs>
          <w:tab w:val="clear" w:pos="426"/>
        </w:tabs>
        <w:rPr>
          <w:highlight w:val="none"/>
        </w:rPr>
      </w:pPr>
      <w:r>
        <w:rPr>
          <w:rFonts w:hint="eastAsia"/>
          <w:highlight w:val="none"/>
        </w:rPr>
        <w:t>28.4  谈判应答截止时间之后至谈判应答文件有效期终止之前，供应商不得要求撤回其谈判应答。在此期间撤回谈判应答的，其谈判应答担保将会被没收。</w:t>
      </w:r>
    </w:p>
    <w:p>
      <w:pPr>
        <w:tabs>
          <w:tab w:val="clear" w:pos="426"/>
        </w:tabs>
        <w:rPr>
          <w:highlight w:val="none"/>
        </w:rPr>
      </w:pPr>
      <w:r>
        <w:rPr>
          <w:rFonts w:hint="eastAsia"/>
          <w:highlight w:val="none"/>
        </w:rPr>
        <w:t>28.5  谈判结束后，不论成交与否，供应商均不得收回谈判应答文件。</w:t>
      </w:r>
    </w:p>
    <w:bookmarkEnd w:id="235"/>
    <w:p>
      <w:pPr>
        <w:pStyle w:val="5"/>
        <w:tabs>
          <w:tab w:val="clear" w:pos="426"/>
        </w:tabs>
        <w:rPr>
          <w:highlight w:val="none"/>
        </w:rPr>
      </w:pPr>
      <w:bookmarkStart w:id="236" w:name="_Toc432592824"/>
      <w:bookmarkStart w:id="237" w:name="_Toc398220532"/>
      <w:bookmarkStart w:id="238" w:name="_Toc17136"/>
      <w:r>
        <w:rPr>
          <w:rFonts w:hint="eastAsia"/>
          <w:highlight w:val="none"/>
        </w:rPr>
        <w:t xml:space="preserve">第四章 </w:t>
      </w:r>
      <w:bookmarkEnd w:id="191"/>
      <w:bookmarkEnd w:id="192"/>
      <w:bookmarkEnd w:id="193"/>
      <w:bookmarkEnd w:id="194"/>
      <w:bookmarkEnd w:id="195"/>
      <w:bookmarkEnd w:id="196"/>
      <w:bookmarkEnd w:id="236"/>
      <w:bookmarkEnd w:id="237"/>
      <w:r>
        <w:rPr>
          <w:rFonts w:hint="eastAsia"/>
          <w:highlight w:val="none"/>
        </w:rPr>
        <w:t>谈判初始报价</w:t>
      </w:r>
      <w:bookmarkEnd w:id="238"/>
    </w:p>
    <w:p>
      <w:pPr>
        <w:tabs>
          <w:tab w:val="clear" w:pos="426"/>
        </w:tabs>
        <w:rPr>
          <w:highlight w:val="none"/>
        </w:rPr>
      </w:pPr>
      <w:bookmarkStart w:id="239" w:name="_Toc201401580"/>
      <w:bookmarkStart w:id="240" w:name="_Toc201997841"/>
      <w:bookmarkStart w:id="241" w:name="_Toc201401388"/>
      <w:bookmarkStart w:id="242" w:name="_Toc148780243"/>
      <w:bookmarkStart w:id="243" w:name="_Toc157847825"/>
      <w:bookmarkStart w:id="244" w:name="_Toc148954864"/>
      <w:bookmarkStart w:id="245" w:name="_Toc148329806"/>
      <w:bookmarkStart w:id="246" w:name="_Toc188869286"/>
      <w:bookmarkStart w:id="247" w:name="_Toc135666633"/>
      <w:bookmarkStart w:id="248" w:name="_Toc135666820"/>
      <w:bookmarkStart w:id="249" w:name="_Toc98817939"/>
      <w:bookmarkStart w:id="250" w:name="_Toc148779957"/>
      <w:bookmarkStart w:id="251" w:name="_Toc148778162"/>
      <w:bookmarkStart w:id="252" w:name="_Toc163530307"/>
      <w:bookmarkStart w:id="253" w:name="_Toc148413305"/>
      <w:bookmarkStart w:id="254" w:name="_Toc148954469"/>
      <w:bookmarkStart w:id="255" w:name="_Toc134852027"/>
      <w:bookmarkStart w:id="256" w:name="_Toc143658460"/>
      <w:bookmarkStart w:id="257" w:name="_Toc187729585"/>
      <w:bookmarkStart w:id="258" w:name="_Toc73517668"/>
      <w:bookmarkStart w:id="259" w:name="_Toc73518146"/>
      <w:bookmarkStart w:id="260" w:name="_Toc73521664"/>
      <w:bookmarkStart w:id="261" w:name="_Toc73521576"/>
      <w:bookmarkStart w:id="262" w:name="_Toc100052393"/>
      <w:bookmarkStart w:id="263" w:name="_Toc101074882"/>
      <w:r>
        <w:rPr>
          <w:rFonts w:hint="eastAsia"/>
          <w:highlight w:val="none"/>
        </w:rPr>
        <w:t>29.　</w:t>
      </w:r>
      <w:bookmarkEnd w:id="239"/>
      <w:bookmarkEnd w:id="240"/>
      <w:bookmarkEnd w:id="241"/>
      <w:r>
        <w:rPr>
          <w:rFonts w:hint="eastAsia"/>
          <w:highlight w:val="none"/>
        </w:rPr>
        <w:t>谈判初始报价</w:t>
      </w:r>
    </w:p>
    <w:p>
      <w:pPr>
        <w:tabs>
          <w:tab w:val="clear" w:pos="426"/>
        </w:tabs>
        <w:rPr>
          <w:highlight w:val="none"/>
        </w:rPr>
      </w:pPr>
      <w:bookmarkStart w:id="264" w:name="_Toc201997842"/>
      <w:bookmarkStart w:id="265" w:name="_Toc201401389"/>
      <w:bookmarkStart w:id="266" w:name="_Toc201401581"/>
      <w:r>
        <w:rPr>
          <w:rFonts w:hint="eastAsia"/>
          <w:highlight w:val="none"/>
        </w:rPr>
        <w:t>29.1  采购人在“谈判应答须知前附表”中规定的时间、地点组织公开举行竞争性谈判。邀请所有供应商和有关部门代表参加谈判会议。</w:t>
      </w:r>
      <w:bookmarkEnd w:id="264"/>
      <w:bookmarkEnd w:id="265"/>
      <w:bookmarkEnd w:id="266"/>
    </w:p>
    <w:p>
      <w:pPr>
        <w:tabs>
          <w:tab w:val="clear" w:pos="426"/>
        </w:tabs>
        <w:rPr>
          <w:highlight w:val="none"/>
        </w:rPr>
      </w:pPr>
      <w:bookmarkStart w:id="267" w:name="_Toc201997843"/>
      <w:bookmarkStart w:id="268" w:name="_Toc201401582"/>
      <w:bookmarkStart w:id="269" w:name="_Toc201401390"/>
      <w:r>
        <w:rPr>
          <w:rFonts w:hint="eastAsia"/>
          <w:highlight w:val="none"/>
        </w:rPr>
        <w:t>29.2  参加谈判初始报价会议的供应商只委派一名代表，且必须是本单位法定代表人或授权代表，参加会议人员须提供相应的授权委托书及本人身份证原件。</w:t>
      </w:r>
    </w:p>
    <w:bookmarkEnd w:id="267"/>
    <w:bookmarkEnd w:id="268"/>
    <w:bookmarkEnd w:id="269"/>
    <w:p>
      <w:pPr>
        <w:tabs>
          <w:tab w:val="clear" w:pos="426"/>
        </w:tabs>
        <w:rPr>
          <w:highlight w:val="none"/>
        </w:rPr>
      </w:pPr>
      <w:r>
        <w:rPr>
          <w:rFonts w:hint="eastAsia"/>
          <w:highlight w:val="none"/>
        </w:rPr>
        <w:t>29.3  谈判初始报价会由采购代理机构主持，谈判初始报价程序如下：</w:t>
      </w:r>
    </w:p>
    <w:p>
      <w:pPr>
        <w:tabs>
          <w:tab w:val="clear" w:pos="426"/>
        </w:tabs>
        <w:rPr>
          <w:highlight w:val="none"/>
        </w:rPr>
      </w:pPr>
      <w:r>
        <w:rPr>
          <w:rFonts w:hint="eastAsia"/>
          <w:highlight w:val="none"/>
        </w:rPr>
        <w:t xml:space="preserve">29.3.1采购代理机构核对法人代表或其授权代表身份证明，若不能提供相应的身份证明或不相符，则不能参与谈判初始报价会议； </w:t>
      </w:r>
    </w:p>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Pr>
        <w:tabs>
          <w:tab w:val="clear" w:pos="426"/>
        </w:tabs>
        <w:rPr>
          <w:color w:val="000000"/>
          <w:szCs w:val="21"/>
          <w:highlight w:val="none"/>
        </w:rPr>
      </w:pPr>
      <w:r>
        <w:rPr>
          <w:rFonts w:hint="eastAsia"/>
          <w:color w:val="000000"/>
          <w:szCs w:val="21"/>
          <w:highlight w:val="none"/>
        </w:rPr>
        <w:t>29.3.2  竞争性谈判机构将按“采购公告”规定的时间和地点组织公开谈判初始报价。供应商应委派代表参加，参加谈判初始报价的代表应签名报到以证明出席。</w:t>
      </w:r>
    </w:p>
    <w:p>
      <w:pPr>
        <w:tabs>
          <w:tab w:val="clear" w:pos="426"/>
        </w:tabs>
        <w:rPr>
          <w:color w:val="000000"/>
          <w:szCs w:val="21"/>
          <w:highlight w:val="none"/>
        </w:rPr>
      </w:pPr>
      <w:r>
        <w:rPr>
          <w:rFonts w:hint="eastAsia"/>
          <w:color w:val="000000"/>
          <w:szCs w:val="21"/>
          <w:highlight w:val="none"/>
        </w:rPr>
        <w:t>29.3.3  谈判初始报价时，竞争性谈判机构将当众宣读供应商名称、修改和撤回谈判应答的通知、谈判初始报价一览表（以竞争性谈判文件规定的谈判初始报价一览表内容为准）。谈判应答文件中谈判初始报价一览表内容与谈判应答报价明细表内容不一致的，以谈判初始报价一览表为准。</w:t>
      </w:r>
    </w:p>
    <w:p>
      <w:pPr>
        <w:tabs>
          <w:tab w:val="clear" w:pos="426"/>
        </w:tabs>
        <w:rPr>
          <w:color w:val="000000"/>
          <w:szCs w:val="21"/>
          <w:highlight w:val="none"/>
        </w:rPr>
      </w:pPr>
      <w:r>
        <w:rPr>
          <w:color w:val="000000"/>
          <w:szCs w:val="21"/>
          <w:highlight w:val="none"/>
        </w:rPr>
        <w:t>2</w:t>
      </w:r>
      <w:r>
        <w:rPr>
          <w:rFonts w:hint="eastAsia"/>
          <w:color w:val="000000"/>
          <w:szCs w:val="21"/>
          <w:highlight w:val="none"/>
        </w:rPr>
        <w:t>9</w:t>
      </w:r>
      <w:r>
        <w:rPr>
          <w:color w:val="000000"/>
          <w:szCs w:val="21"/>
          <w:highlight w:val="none"/>
        </w:rPr>
        <w:t>.3</w:t>
      </w:r>
      <w:r>
        <w:rPr>
          <w:rFonts w:hint="eastAsia"/>
          <w:color w:val="000000"/>
          <w:szCs w:val="21"/>
          <w:highlight w:val="none"/>
        </w:rPr>
        <w:t>.4谈判初始报价时，未按规定递交的谈判应答文件不予开封，并退给供应商；按29.3.9</w:t>
      </w:r>
      <w:r>
        <w:rPr>
          <w:color w:val="000000"/>
          <w:szCs w:val="21"/>
          <w:highlight w:val="none"/>
        </w:rPr>
        <w:t>规定宣布为无效的谈判应答文件，不予送交评审</w:t>
      </w:r>
      <w:r>
        <w:rPr>
          <w:rFonts w:hint="eastAsia"/>
          <w:color w:val="000000"/>
          <w:szCs w:val="21"/>
          <w:highlight w:val="none"/>
        </w:rPr>
        <w:t>。</w:t>
      </w:r>
    </w:p>
    <w:p>
      <w:pPr>
        <w:tabs>
          <w:tab w:val="clear" w:pos="426"/>
        </w:tabs>
        <w:rPr>
          <w:color w:val="000000"/>
          <w:szCs w:val="21"/>
          <w:highlight w:val="none"/>
        </w:rPr>
      </w:pPr>
      <w:r>
        <w:rPr>
          <w:color w:val="000000"/>
          <w:szCs w:val="21"/>
          <w:highlight w:val="none"/>
        </w:rPr>
        <w:t>2</w:t>
      </w:r>
      <w:r>
        <w:rPr>
          <w:rFonts w:hint="eastAsia"/>
          <w:color w:val="000000"/>
          <w:szCs w:val="21"/>
          <w:highlight w:val="none"/>
        </w:rPr>
        <w:t>9</w:t>
      </w:r>
      <w:r>
        <w:rPr>
          <w:color w:val="000000"/>
          <w:szCs w:val="21"/>
          <w:highlight w:val="none"/>
        </w:rPr>
        <w:t>.</w:t>
      </w:r>
      <w:r>
        <w:rPr>
          <w:rFonts w:hint="eastAsia"/>
          <w:color w:val="000000"/>
          <w:szCs w:val="21"/>
          <w:highlight w:val="none"/>
        </w:rPr>
        <w:t>3.5按照供应商须知第</w:t>
      </w:r>
      <w:r>
        <w:rPr>
          <w:color w:val="000000"/>
          <w:szCs w:val="21"/>
          <w:highlight w:val="none"/>
        </w:rPr>
        <w:t>2</w:t>
      </w:r>
      <w:r>
        <w:rPr>
          <w:rFonts w:hint="eastAsia"/>
          <w:color w:val="000000"/>
          <w:szCs w:val="21"/>
          <w:highlight w:val="none"/>
        </w:rPr>
        <w:t>8条规定，提交了可接受的“撤回”通知的谈判应答将不予开封。</w:t>
      </w:r>
    </w:p>
    <w:p>
      <w:pPr>
        <w:tabs>
          <w:tab w:val="clear" w:pos="426"/>
        </w:tabs>
        <w:rPr>
          <w:color w:val="000000"/>
          <w:szCs w:val="21"/>
          <w:highlight w:val="none"/>
        </w:rPr>
      </w:pPr>
      <w:r>
        <w:rPr>
          <w:color w:val="000000"/>
          <w:szCs w:val="21"/>
          <w:highlight w:val="none"/>
        </w:rPr>
        <w:t>2</w:t>
      </w:r>
      <w:r>
        <w:rPr>
          <w:rFonts w:hint="eastAsia"/>
          <w:color w:val="000000"/>
          <w:szCs w:val="21"/>
          <w:highlight w:val="none"/>
        </w:rPr>
        <w:t>9</w:t>
      </w:r>
      <w:r>
        <w:rPr>
          <w:color w:val="000000"/>
          <w:szCs w:val="21"/>
          <w:highlight w:val="none"/>
        </w:rPr>
        <w:t>.</w:t>
      </w:r>
      <w:r>
        <w:rPr>
          <w:rFonts w:hint="eastAsia"/>
          <w:color w:val="000000"/>
          <w:szCs w:val="21"/>
          <w:highlight w:val="none"/>
        </w:rPr>
        <w:t>3.6无论如何在谈判初始报价时没有启封和读出的谈判应答书在谈判时将不予考虑。撤回的谈判应答书将原封退回供应商。</w:t>
      </w:r>
    </w:p>
    <w:p>
      <w:pPr>
        <w:tabs>
          <w:tab w:val="clear" w:pos="426"/>
        </w:tabs>
        <w:rPr>
          <w:color w:val="000000"/>
          <w:szCs w:val="21"/>
          <w:highlight w:val="none"/>
        </w:rPr>
      </w:pPr>
      <w:r>
        <w:rPr>
          <w:color w:val="000000"/>
          <w:szCs w:val="21"/>
          <w:highlight w:val="none"/>
        </w:rPr>
        <w:t>2</w:t>
      </w:r>
      <w:r>
        <w:rPr>
          <w:rFonts w:hint="eastAsia"/>
          <w:color w:val="000000"/>
          <w:szCs w:val="21"/>
          <w:highlight w:val="none"/>
        </w:rPr>
        <w:t>9.3.7竞争性谈判机构将做谈判初始报价记录，谈判初始报价记录包括按本通用条款第</w:t>
      </w:r>
      <w:r>
        <w:rPr>
          <w:color w:val="000000"/>
          <w:szCs w:val="21"/>
          <w:highlight w:val="none"/>
        </w:rPr>
        <w:t>2</w:t>
      </w:r>
      <w:r>
        <w:rPr>
          <w:rFonts w:hint="eastAsia"/>
          <w:color w:val="000000"/>
          <w:szCs w:val="21"/>
          <w:highlight w:val="none"/>
        </w:rPr>
        <w:t>9</w:t>
      </w:r>
      <w:r>
        <w:rPr>
          <w:color w:val="000000"/>
          <w:szCs w:val="21"/>
          <w:highlight w:val="none"/>
        </w:rPr>
        <w:t>.</w:t>
      </w:r>
      <w:r>
        <w:rPr>
          <w:rFonts w:hint="eastAsia"/>
          <w:color w:val="000000"/>
          <w:szCs w:val="21"/>
          <w:highlight w:val="none"/>
        </w:rPr>
        <w:t>3.3的规定在谈判初始报价时宣读的全部内容。</w:t>
      </w:r>
    </w:p>
    <w:p>
      <w:pPr>
        <w:tabs>
          <w:tab w:val="clear" w:pos="426"/>
        </w:tabs>
        <w:rPr>
          <w:highlight w:val="none"/>
        </w:rPr>
      </w:pPr>
      <w:r>
        <w:rPr>
          <w:rFonts w:hint="eastAsia"/>
          <w:highlight w:val="none"/>
        </w:rPr>
        <w:t>29.3.8 供应商在谈判初始报价过程中知道或者应知其权益受到损害时必须现场明确提出，未明确提出的，即视为认可谈判初始报价结果。</w:t>
      </w:r>
    </w:p>
    <w:p>
      <w:pPr>
        <w:tabs>
          <w:tab w:val="clear" w:pos="426"/>
        </w:tabs>
        <w:rPr>
          <w:color w:val="000000"/>
          <w:szCs w:val="21"/>
          <w:highlight w:val="none"/>
        </w:rPr>
      </w:pPr>
      <w:r>
        <w:rPr>
          <w:rFonts w:hint="eastAsia"/>
          <w:highlight w:val="none"/>
        </w:rPr>
        <w:t xml:space="preserve">29.3.9  </w:t>
      </w:r>
      <w:r>
        <w:rPr>
          <w:color w:val="000000"/>
          <w:szCs w:val="21"/>
          <w:highlight w:val="none"/>
        </w:rPr>
        <w:t>谈判应答文件有效性界定标准</w:t>
      </w:r>
    </w:p>
    <w:p>
      <w:pPr>
        <w:tabs>
          <w:tab w:val="clear" w:pos="426"/>
        </w:tabs>
        <w:rPr>
          <w:color w:val="000000"/>
          <w:szCs w:val="21"/>
          <w:highlight w:val="none"/>
        </w:rPr>
      </w:pPr>
      <w:r>
        <w:rPr>
          <w:rFonts w:hint="eastAsia"/>
          <w:highlight w:val="none"/>
        </w:rPr>
        <w:t>29.3.9</w:t>
      </w:r>
      <w:r>
        <w:rPr>
          <w:color w:val="000000"/>
          <w:szCs w:val="21"/>
          <w:highlight w:val="none"/>
        </w:rPr>
        <w:t>.1  谈判应答文件出现下列情形之一的将视为无效，按谈判应答无效处理，不得进入评审：</w:t>
      </w:r>
    </w:p>
    <w:p>
      <w:pPr>
        <w:tabs>
          <w:tab w:val="clear" w:pos="426"/>
        </w:tabs>
        <w:rPr>
          <w:color w:val="000000"/>
          <w:szCs w:val="21"/>
          <w:highlight w:val="none"/>
        </w:rPr>
      </w:pPr>
      <w:r>
        <w:rPr>
          <w:rFonts w:hint="eastAsia"/>
          <w:highlight w:val="none"/>
        </w:rPr>
        <w:t>29.3.9</w:t>
      </w:r>
      <w:r>
        <w:rPr>
          <w:color w:val="000000"/>
          <w:szCs w:val="21"/>
          <w:highlight w:val="none"/>
        </w:rPr>
        <w:t>.1.1谈判应答文件未按照本须知第17条的要求密封和标记的；</w:t>
      </w:r>
    </w:p>
    <w:p>
      <w:pPr>
        <w:tabs>
          <w:tab w:val="clear" w:pos="426"/>
        </w:tabs>
        <w:rPr>
          <w:color w:val="000000"/>
          <w:szCs w:val="21"/>
          <w:highlight w:val="none"/>
        </w:rPr>
      </w:pPr>
      <w:r>
        <w:rPr>
          <w:rFonts w:hint="eastAsia"/>
          <w:highlight w:val="none"/>
        </w:rPr>
        <w:t>29.3.9</w:t>
      </w:r>
      <w:r>
        <w:rPr>
          <w:color w:val="000000"/>
          <w:szCs w:val="21"/>
          <w:highlight w:val="none"/>
        </w:rPr>
        <w:t>.1.2逾期送达的；</w:t>
      </w:r>
    </w:p>
    <w:p>
      <w:pPr>
        <w:tabs>
          <w:tab w:val="clear" w:pos="426"/>
        </w:tabs>
        <w:rPr>
          <w:color w:val="000000"/>
          <w:szCs w:val="21"/>
          <w:highlight w:val="none"/>
        </w:rPr>
      </w:pPr>
      <w:r>
        <w:rPr>
          <w:rFonts w:hint="eastAsia"/>
          <w:highlight w:val="none"/>
        </w:rPr>
        <w:t>29.3.9</w:t>
      </w:r>
      <w:r>
        <w:rPr>
          <w:color w:val="000000"/>
          <w:szCs w:val="21"/>
          <w:highlight w:val="none"/>
        </w:rPr>
        <w:t>.1.3供应商未按照采购文件的要求提供谈判应答保证金的。</w:t>
      </w:r>
    </w:p>
    <w:p>
      <w:pPr>
        <w:pStyle w:val="5"/>
        <w:tabs>
          <w:tab w:val="clear" w:pos="426"/>
        </w:tabs>
        <w:rPr>
          <w:highlight w:val="none"/>
        </w:rPr>
      </w:pPr>
      <w:bookmarkStart w:id="270" w:name="_Toc3551"/>
      <w:bookmarkStart w:id="271" w:name="_Toc398220533"/>
      <w:bookmarkStart w:id="272" w:name="_Toc432592825"/>
      <w:r>
        <w:rPr>
          <w:rFonts w:hint="eastAsia"/>
          <w:highlight w:val="none"/>
        </w:rPr>
        <w:t xml:space="preserve">第五章 </w:t>
      </w:r>
      <w:bookmarkEnd w:id="258"/>
      <w:bookmarkEnd w:id="259"/>
      <w:bookmarkEnd w:id="260"/>
      <w:bookmarkEnd w:id="261"/>
      <w:r>
        <w:rPr>
          <w:rFonts w:hint="eastAsia"/>
          <w:highlight w:val="none"/>
        </w:rPr>
        <w:t>谈判要求</w:t>
      </w:r>
      <w:bookmarkEnd w:id="262"/>
      <w:bookmarkEnd w:id="263"/>
      <w:bookmarkEnd w:id="270"/>
      <w:bookmarkEnd w:id="271"/>
      <w:bookmarkEnd w:id="272"/>
    </w:p>
    <w:p>
      <w:pPr>
        <w:tabs>
          <w:tab w:val="clear" w:pos="426"/>
        </w:tabs>
        <w:rPr>
          <w:highlight w:val="none"/>
        </w:rPr>
      </w:pPr>
      <w:bookmarkStart w:id="273" w:name="bt评标会议"/>
      <w:bookmarkEnd w:id="273"/>
      <w:bookmarkStart w:id="274" w:name="_Toc73517669"/>
      <w:bookmarkStart w:id="275" w:name="_Toc73521665"/>
      <w:bookmarkStart w:id="276" w:name="_Toc73521577"/>
      <w:bookmarkStart w:id="277" w:name="_Toc73518147"/>
      <w:bookmarkStart w:id="278" w:name="_Toc100052394"/>
      <w:r>
        <w:rPr>
          <w:rFonts w:hint="eastAsia"/>
          <w:highlight w:val="none"/>
        </w:rPr>
        <w:t>30</w:t>
      </w:r>
      <w:r>
        <w:rPr>
          <w:highlight w:val="none"/>
        </w:rPr>
        <w:t>谈判小组与评审</w:t>
      </w:r>
    </w:p>
    <w:p>
      <w:pPr>
        <w:tabs>
          <w:tab w:val="clear" w:pos="426"/>
        </w:tabs>
        <w:rPr>
          <w:highlight w:val="none"/>
        </w:rPr>
      </w:pPr>
      <w:r>
        <w:rPr>
          <w:rFonts w:hint="eastAsia"/>
          <w:highlight w:val="none"/>
        </w:rPr>
        <w:t>30</w:t>
      </w:r>
      <w:r>
        <w:rPr>
          <w:highlight w:val="none"/>
        </w:rPr>
        <w:t>.1谈判小组由其委托的采购代理人依法组建，谈判小组负责评审活动。</w:t>
      </w:r>
    </w:p>
    <w:p>
      <w:pPr>
        <w:tabs>
          <w:tab w:val="clear" w:pos="426"/>
        </w:tabs>
        <w:rPr>
          <w:highlight w:val="none"/>
        </w:rPr>
      </w:pPr>
      <w:r>
        <w:rPr>
          <w:rFonts w:hint="eastAsia"/>
          <w:highlight w:val="none"/>
        </w:rPr>
        <w:t>30.</w:t>
      </w:r>
      <w:r>
        <w:rPr>
          <w:highlight w:val="none"/>
        </w:rPr>
        <w:t>2谈判会议结束后，开始评审，评审采用保密方式进行。</w:t>
      </w:r>
    </w:p>
    <w:p>
      <w:pPr>
        <w:tabs>
          <w:tab w:val="clear" w:pos="426"/>
        </w:tabs>
        <w:rPr>
          <w:highlight w:val="none"/>
        </w:rPr>
      </w:pPr>
      <w:r>
        <w:rPr>
          <w:rFonts w:hint="eastAsia"/>
          <w:highlight w:val="none"/>
        </w:rPr>
        <w:t>31</w:t>
      </w:r>
      <w:r>
        <w:rPr>
          <w:highlight w:val="none"/>
        </w:rPr>
        <w:t>评审过程的保密</w:t>
      </w:r>
    </w:p>
    <w:p>
      <w:pPr>
        <w:tabs>
          <w:tab w:val="clear" w:pos="426"/>
        </w:tabs>
        <w:rPr>
          <w:highlight w:val="none"/>
        </w:rPr>
      </w:pPr>
      <w:r>
        <w:rPr>
          <w:rFonts w:hint="eastAsia"/>
          <w:highlight w:val="none"/>
        </w:rPr>
        <w:t>31</w:t>
      </w:r>
      <w:r>
        <w:rPr>
          <w:highlight w:val="none"/>
        </w:rPr>
        <w:t>.1直到签订合同协议书为止，凡有关对谈判应答文件的审查、澄清和谈判工作，都应在保密的情况下进行，任何有关信息和资料，均不得向供应商或与上述工作无关的人员泄露。</w:t>
      </w:r>
    </w:p>
    <w:p>
      <w:pPr>
        <w:tabs>
          <w:tab w:val="clear" w:pos="426"/>
        </w:tabs>
        <w:rPr>
          <w:highlight w:val="none"/>
        </w:rPr>
      </w:pPr>
      <w:r>
        <w:rPr>
          <w:rFonts w:hint="eastAsia"/>
          <w:highlight w:val="none"/>
        </w:rPr>
        <w:t>31</w:t>
      </w:r>
      <w:r>
        <w:rPr>
          <w:highlight w:val="none"/>
        </w:rPr>
        <w:t>.2在谈判应答文件的评审和比较以及授予合同的过程中，供应商向采购人和谈判小组施加影响的任何行为，都将会导致其谈判应答被拒绝。</w:t>
      </w:r>
    </w:p>
    <w:p>
      <w:pPr>
        <w:tabs>
          <w:tab w:val="clear" w:pos="426"/>
        </w:tabs>
        <w:rPr>
          <w:highlight w:val="none"/>
        </w:rPr>
      </w:pPr>
      <w:r>
        <w:rPr>
          <w:rFonts w:hint="eastAsia"/>
          <w:highlight w:val="none"/>
        </w:rPr>
        <w:t>31</w:t>
      </w:r>
      <w:r>
        <w:rPr>
          <w:highlight w:val="none"/>
        </w:rPr>
        <w:t>.3成交供应商确定后，采购人和代理机构不对未成交的供应商就评审过程以及未能成交原因作出任何解释。未成交供应商不得向谈判小组成员或其他有关人员索问评审过程的情况和材料。</w:t>
      </w:r>
    </w:p>
    <w:bookmarkEnd w:id="274"/>
    <w:bookmarkEnd w:id="275"/>
    <w:bookmarkEnd w:id="276"/>
    <w:bookmarkEnd w:id="277"/>
    <w:bookmarkEnd w:id="278"/>
    <w:p>
      <w:pPr>
        <w:pStyle w:val="5"/>
        <w:tabs>
          <w:tab w:val="clear" w:pos="426"/>
        </w:tabs>
        <w:rPr>
          <w:highlight w:val="none"/>
        </w:rPr>
      </w:pPr>
      <w:bookmarkStart w:id="279" w:name="_Toc432592826"/>
      <w:bookmarkStart w:id="280" w:name="_Toc101074883"/>
      <w:bookmarkStart w:id="281" w:name="_Toc100052397"/>
      <w:bookmarkStart w:id="282" w:name="_Toc398220534"/>
      <w:bookmarkStart w:id="283" w:name="_Toc3164"/>
      <w:r>
        <w:rPr>
          <w:rFonts w:hint="eastAsia"/>
          <w:highlight w:val="none"/>
        </w:rPr>
        <w:t>第六章 谈判程序</w:t>
      </w:r>
      <w:bookmarkStart w:id="284" w:name="bt投标文件的审查"/>
      <w:bookmarkEnd w:id="284"/>
      <w:bookmarkStart w:id="285" w:name="_Toc73521579"/>
      <w:bookmarkStart w:id="286" w:name="_Toc73517671"/>
      <w:bookmarkStart w:id="287" w:name="_Toc73518149"/>
      <w:bookmarkStart w:id="288" w:name="_Toc73521667"/>
      <w:r>
        <w:rPr>
          <w:rFonts w:hint="eastAsia"/>
          <w:highlight w:val="none"/>
        </w:rPr>
        <w:t>及谈判方法</w:t>
      </w:r>
      <w:bookmarkEnd w:id="279"/>
      <w:bookmarkEnd w:id="280"/>
      <w:bookmarkEnd w:id="281"/>
      <w:bookmarkEnd w:id="282"/>
      <w:bookmarkEnd w:id="283"/>
    </w:p>
    <w:p>
      <w:pPr>
        <w:tabs>
          <w:tab w:val="clear" w:pos="426"/>
        </w:tabs>
        <w:rPr>
          <w:highlight w:val="none"/>
        </w:rPr>
      </w:pPr>
      <w:bookmarkStart w:id="289" w:name="_Toc100052398"/>
      <w:r>
        <w:rPr>
          <w:rFonts w:hint="eastAsia"/>
          <w:highlight w:val="none"/>
        </w:rPr>
        <w:t>32.谈判应答文件初审</w:t>
      </w:r>
      <w:bookmarkEnd w:id="289"/>
    </w:p>
    <w:bookmarkEnd w:id="285"/>
    <w:bookmarkEnd w:id="286"/>
    <w:bookmarkEnd w:id="287"/>
    <w:bookmarkEnd w:id="288"/>
    <w:p>
      <w:pPr>
        <w:widowControl w:val="0"/>
        <w:shd w:val="clear" w:color="auto" w:fill="auto"/>
        <w:tabs>
          <w:tab w:val="clear" w:pos="426"/>
        </w:tabs>
        <w:autoSpaceDE w:val="0"/>
        <w:autoSpaceDN w:val="0"/>
        <w:rPr>
          <w:rFonts w:cs="黑体"/>
          <w:b/>
          <w:bCs/>
          <w:szCs w:val="21"/>
          <w:highlight w:val="none"/>
        </w:rPr>
      </w:pPr>
      <w:r>
        <w:rPr>
          <w:rFonts w:hint="eastAsia"/>
          <w:highlight w:val="none"/>
        </w:rPr>
        <w:t>32.1</w:t>
      </w:r>
      <w:r>
        <w:rPr>
          <w:rFonts w:hint="eastAsia"/>
          <w:szCs w:val="21"/>
          <w:highlight w:val="none"/>
          <w:lang w:eastAsia="zh-TW"/>
        </w:rPr>
        <w:t>谈判小组将</w:t>
      </w:r>
      <w:r>
        <w:rPr>
          <w:rFonts w:hint="eastAsia"/>
          <w:szCs w:val="21"/>
          <w:highlight w:val="none"/>
        </w:rPr>
        <w:t>依法对谈判应答文件进行初审。</w:t>
      </w:r>
      <w:r>
        <w:rPr>
          <w:rFonts w:hint="eastAsia"/>
          <w:highlight w:val="none"/>
        </w:rPr>
        <w:t>谈判应答文件初审包括资格性检查和符合性检查，资格性检查：依据法律法规和竞争性谈判文件的规定，对谈判应答文件中的资格证明、谈判应答保证金等进行审查，以确定谈判应答供应商是否具备谈判应答资格。符合性检查：依据竞争性谈判文件的规定，从谈判应答文件的有效性、完整性和对竞争性谈判文件的响应程度进行审查，以确定是否对竞争性谈判文件的实质性要求作出响应。</w:t>
      </w:r>
    </w:p>
    <w:p>
      <w:pPr>
        <w:tabs>
          <w:tab w:val="clear" w:pos="426"/>
        </w:tabs>
        <w:rPr>
          <w:b/>
          <w:highlight w:val="none"/>
        </w:rPr>
      </w:pPr>
      <w:r>
        <w:rPr>
          <w:rFonts w:hint="eastAsia"/>
          <w:highlight w:val="none"/>
        </w:rPr>
        <w:t>32.2谈判应答文件初审内容请详见“</w:t>
      </w:r>
      <w:r>
        <w:rPr>
          <w:rFonts w:hint="eastAsia"/>
          <w:b/>
          <w:highlight w:val="none"/>
        </w:rPr>
        <w:t>资格、符合性评审条款</w:t>
      </w:r>
      <w:r>
        <w:rPr>
          <w:rFonts w:hint="eastAsia"/>
          <w:highlight w:val="none"/>
        </w:rPr>
        <w:t>”。供应商若有一条审查不通过则按谈判应答无效处理。谈判小组对供应商打√为通过审查，打×为未通过审查。</w:t>
      </w:r>
    </w:p>
    <w:p>
      <w:pPr>
        <w:tabs>
          <w:tab w:val="clear" w:pos="426"/>
        </w:tabs>
        <w:rPr>
          <w:b/>
          <w:highlight w:val="none"/>
        </w:rPr>
      </w:pPr>
      <w:r>
        <w:rPr>
          <w:rFonts w:hint="eastAsia"/>
          <w:highlight w:val="none"/>
        </w:rPr>
        <w:t>32.3谈判应答文件初审中关于供应商家数的计算</w:t>
      </w:r>
    </w:p>
    <w:p>
      <w:pPr>
        <w:tabs>
          <w:tab w:val="clear" w:pos="426"/>
        </w:tabs>
        <w:rPr>
          <w:highlight w:val="none"/>
        </w:rPr>
      </w:pPr>
      <w:r>
        <w:rPr>
          <w:highlight w:val="none"/>
        </w:rPr>
        <w:t>3</w:t>
      </w:r>
      <w:r>
        <w:rPr>
          <w:rFonts w:hint="eastAsia"/>
          <w:highlight w:val="none"/>
        </w:rPr>
        <w:t>2</w:t>
      </w:r>
      <w:r>
        <w:rPr>
          <w:highlight w:val="none"/>
        </w:rPr>
        <w:t>.3.1 采用最低评标价法的采购项目，提供相同品牌产品的不同供应商参加同一合同项下谈判应答的，以其中通过资格审查、符合性审查且报价最低的参加谈判；报价相同的，由采购人或者采购人委托谈判小组按照竞争性谈判文件规定的方式确定一个参加谈判的供应商，竞争性谈判文件未规定的采取随机抽取方式确定，其他谈判应答无效。</w:t>
      </w:r>
    </w:p>
    <w:p>
      <w:pPr>
        <w:tabs>
          <w:tab w:val="clear" w:pos="426"/>
        </w:tabs>
        <w:rPr>
          <w:highlight w:val="none"/>
        </w:rPr>
      </w:pPr>
      <w:r>
        <w:rPr>
          <w:highlight w:val="none"/>
        </w:rPr>
        <w:t>3</w:t>
      </w:r>
      <w:r>
        <w:rPr>
          <w:rFonts w:hint="eastAsia"/>
          <w:highlight w:val="none"/>
        </w:rPr>
        <w:t>2</w:t>
      </w:r>
      <w:r>
        <w:rPr>
          <w:highlight w:val="none"/>
        </w:rPr>
        <w:t>.3.2使用综合评分法的采购项目，提供相同品牌产品且通过资格审查、符合性审查的不同供应商参加同一合同项下谈判应答的，按一家供应商计算，评审后得分最高的同品牌供应商获得成交人推荐资格；评审得分相同的，由采购人或者采购人委托谈判小组按照竞争性谈判文件规定的方式确定一个供应商获得成交人推荐资格，竞争性谈判文件未规定的采取随机抽取方式确定，其他同品牌供应商不作为成交候选人。</w:t>
      </w:r>
    </w:p>
    <w:p>
      <w:pPr>
        <w:tabs>
          <w:tab w:val="clear" w:pos="426"/>
        </w:tabs>
        <w:rPr>
          <w:highlight w:val="none"/>
        </w:rPr>
      </w:pPr>
      <w:r>
        <w:rPr>
          <w:highlight w:val="none"/>
        </w:rPr>
        <w:t>3</w:t>
      </w:r>
      <w:r>
        <w:rPr>
          <w:rFonts w:hint="eastAsia"/>
          <w:highlight w:val="none"/>
        </w:rPr>
        <w:t>2</w:t>
      </w:r>
      <w:r>
        <w:rPr>
          <w:highlight w:val="none"/>
        </w:rPr>
        <w:t>.3.3非单一产品采购项目，采购人应当根据采购项目技术构成、产品价格比重等合理确定核心产品，并在竞争性谈判文件中载明。多家供应商提供的核心产品品牌相同的，按前两款规定处理。</w:t>
      </w:r>
    </w:p>
    <w:p>
      <w:pPr>
        <w:tabs>
          <w:tab w:val="clear" w:pos="426"/>
        </w:tabs>
        <w:rPr>
          <w:highlight w:val="none"/>
        </w:rPr>
      </w:pPr>
      <w:r>
        <w:rPr>
          <w:highlight w:val="none"/>
        </w:rPr>
        <w:t>3</w:t>
      </w:r>
      <w:r>
        <w:rPr>
          <w:rFonts w:hint="eastAsia"/>
          <w:highlight w:val="none"/>
        </w:rPr>
        <w:t>2</w:t>
      </w:r>
      <w:r>
        <w:rPr>
          <w:highlight w:val="none"/>
        </w:rPr>
        <w:t>.3.4公开竞争性谈判以外采购方式以及政府采购服务和工程涉及采购货物的项目，也按此方法计算供应商家数。</w:t>
      </w:r>
    </w:p>
    <w:p>
      <w:pPr>
        <w:tabs>
          <w:tab w:val="clear" w:pos="426"/>
        </w:tabs>
        <w:rPr>
          <w:highlight w:val="none"/>
        </w:rPr>
      </w:pPr>
      <w:r>
        <w:rPr>
          <w:rFonts w:hint="eastAsia"/>
          <w:highlight w:val="none"/>
        </w:rPr>
        <w:t>32.4对不属于谈判应答文件“</w:t>
      </w:r>
      <w:r>
        <w:rPr>
          <w:rFonts w:hint="eastAsia"/>
          <w:b/>
          <w:highlight w:val="none"/>
        </w:rPr>
        <w:t>资格、符合性评审条款</w:t>
      </w:r>
      <w:r>
        <w:rPr>
          <w:rFonts w:hint="eastAsia"/>
          <w:highlight w:val="none"/>
        </w:rPr>
        <w:t>”要所列不符合的情形，除法律法规另有规定外，不得作为谈判应答无效的理由。</w:t>
      </w:r>
    </w:p>
    <w:p>
      <w:pPr>
        <w:tabs>
          <w:tab w:val="clear" w:pos="426"/>
        </w:tabs>
        <w:rPr>
          <w:highlight w:val="none"/>
        </w:rPr>
      </w:pPr>
      <w:r>
        <w:rPr>
          <w:rFonts w:hint="eastAsia"/>
          <w:highlight w:val="none"/>
        </w:rPr>
        <w:t>32</w:t>
      </w:r>
      <w:r>
        <w:rPr>
          <w:highlight w:val="none"/>
        </w:rPr>
        <w:t>.</w:t>
      </w:r>
      <w:r>
        <w:rPr>
          <w:rFonts w:hint="eastAsia"/>
          <w:highlight w:val="none"/>
        </w:rPr>
        <w:t>5</w:t>
      </w:r>
      <w:r>
        <w:rPr>
          <w:highlight w:val="none"/>
        </w:rPr>
        <w:t>如果谈判应答文件实质上不响应</w:t>
      </w:r>
      <w:r>
        <w:rPr>
          <w:rFonts w:hint="eastAsia"/>
          <w:highlight w:val="none"/>
        </w:rPr>
        <w:t>竞争性谈判</w:t>
      </w:r>
      <w:r>
        <w:rPr>
          <w:highlight w:val="none"/>
        </w:rPr>
        <w:t>文件的各项要求，谈判小组将予以拒绝，并且不允许供应商通过修改或撤销其不符合要求的差异或保留，使之成为具有响应性的谈判应答文件。</w:t>
      </w:r>
    </w:p>
    <w:p>
      <w:pPr>
        <w:tabs>
          <w:tab w:val="clear" w:pos="426"/>
        </w:tabs>
        <w:rPr>
          <w:highlight w:val="none"/>
        </w:rPr>
      </w:pPr>
      <w:bookmarkStart w:id="290" w:name="_Toc100052399"/>
      <w:r>
        <w:rPr>
          <w:rFonts w:hint="eastAsia"/>
          <w:highlight w:val="none"/>
        </w:rPr>
        <w:t>33.澄清有关问题</w:t>
      </w:r>
      <w:bookmarkEnd w:id="290"/>
    </w:p>
    <w:p>
      <w:pPr>
        <w:tabs>
          <w:tab w:val="clear" w:pos="426"/>
        </w:tabs>
        <w:rPr>
          <w:highlight w:val="none"/>
        </w:rPr>
      </w:pPr>
      <w:bookmarkStart w:id="291" w:name="bt投标文件的澄清"/>
      <w:bookmarkEnd w:id="291"/>
      <w:bookmarkStart w:id="292" w:name="bt投标文件的评估和比较"/>
      <w:bookmarkEnd w:id="292"/>
      <w:bookmarkStart w:id="293" w:name="bt废标"/>
      <w:bookmarkEnd w:id="293"/>
      <w:bookmarkStart w:id="294" w:name="_Toc73518153"/>
      <w:bookmarkStart w:id="295" w:name="_Toc73521583"/>
      <w:bookmarkStart w:id="296" w:name="_Toc73521671"/>
      <w:bookmarkStart w:id="297" w:name="_Toc73517675"/>
      <w:r>
        <w:rPr>
          <w:rFonts w:hint="eastAsia"/>
          <w:highlight w:val="none"/>
        </w:rPr>
        <w:t>为了有助于谈判应答文件的审查、评价和比较，对谈判应答文件含义不明确、同类问题表述不一致或者有明显文字和计算错误的内容，谈判小组可以用书面形式(应当由谈判小组签字)要求谈判应答供应商作出必要的澄清、说明或者纠正。供应商的澄清、说明或者补正应当用采用书面形式（由其授权的代表签字），并不得超出谈判应答文件的范围或者改变谈判应答文件的实质性的内容。根据本通用条款第34条，凡属于谈判小组在谈判中发现的算术错误进行核实的修改不在此列。</w:t>
      </w:r>
    </w:p>
    <w:p>
      <w:pPr>
        <w:tabs>
          <w:tab w:val="clear" w:pos="426"/>
        </w:tabs>
        <w:rPr>
          <w:highlight w:val="none"/>
        </w:rPr>
      </w:pPr>
      <w:bookmarkStart w:id="298" w:name="_Toc73517673"/>
      <w:bookmarkStart w:id="299" w:name="_Toc100052400"/>
      <w:bookmarkStart w:id="300" w:name="_Toc73518151"/>
      <w:bookmarkStart w:id="301" w:name="_Toc73521581"/>
      <w:bookmarkStart w:id="302" w:name="_Toc73521669"/>
      <w:r>
        <w:rPr>
          <w:rFonts w:hint="eastAsia"/>
          <w:highlight w:val="none"/>
        </w:rPr>
        <w:t>34.错误的修正</w:t>
      </w:r>
      <w:bookmarkEnd w:id="298"/>
      <w:bookmarkEnd w:id="299"/>
      <w:bookmarkEnd w:id="300"/>
      <w:bookmarkEnd w:id="301"/>
      <w:bookmarkEnd w:id="302"/>
    </w:p>
    <w:p>
      <w:pPr>
        <w:tabs>
          <w:tab w:val="clear" w:pos="426"/>
        </w:tabs>
        <w:rPr>
          <w:highlight w:val="none"/>
        </w:rPr>
      </w:pPr>
      <w:r>
        <w:rPr>
          <w:rFonts w:hint="eastAsia"/>
          <w:highlight w:val="none"/>
        </w:rPr>
        <w:t>34</w:t>
      </w:r>
      <w:r>
        <w:rPr>
          <w:highlight w:val="none"/>
        </w:rPr>
        <w:t xml:space="preserve">.1 </w:t>
      </w:r>
      <w:r>
        <w:rPr>
          <w:rFonts w:hint="eastAsia"/>
          <w:highlight w:val="none"/>
        </w:rPr>
        <w:t>谈判小组将审查谈判应答文件是否完整、总体编排是否有序、文件签署是否合格、供应商是否提交了谈判应答保证金、有无计算上的错误等。</w:t>
      </w:r>
    </w:p>
    <w:p>
      <w:pPr>
        <w:tabs>
          <w:tab w:val="clear" w:pos="426"/>
        </w:tabs>
        <w:rPr>
          <w:highlight w:val="none"/>
        </w:rPr>
      </w:pPr>
      <w:r>
        <w:rPr>
          <w:highlight w:val="none"/>
        </w:rPr>
        <w:t>3</w:t>
      </w:r>
      <w:r>
        <w:rPr>
          <w:rFonts w:hint="eastAsia"/>
          <w:highlight w:val="none"/>
        </w:rPr>
        <w:t>4</w:t>
      </w:r>
      <w:r>
        <w:rPr>
          <w:highlight w:val="none"/>
        </w:rPr>
        <w:t>.2  算术错误将按以下方法更正（次序排先者优先）：</w:t>
      </w:r>
    </w:p>
    <w:p>
      <w:pPr>
        <w:tabs>
          <w:tab w:val="clear" w:pos="426"/>
        </w:tabs>
        <w:rPr>
          <w:highlight w:val="none"/>
        </w:rPr>
      </w:pPr>
      <w:r>
        <w:rPr>
          <w:highlight w:val="none"/>
        </w:rPr>
        <w:t>3</w:t>
      </w:r>
      <w:r>
        <w:rPr>
          <w:rFonts w:hint="eastAsia"/>
          <w:highlight w:val="none"/>
        </w:rPr>
        <w:t>4</w:t>
      </w:r>
      <w:r>
        <w:rPr>
          <w:highlight w:val="none"/>
        </w:rPr>
        <w:t>.2.1 谈判应答文件中谈判初始报价一览表（报价表）内容与谈判应答文件中相应内容不一致的，以谈判初始报价一览表（报价表）为准；</w:t>
      </w:r>
    </w:p>
    <w:p>
      <w:pPr>
        <w:tabs>
          <w:tab w:val="clear" w:pos="426"/>
        </w:tabs>
        <w:rPr>
          <w:highlight w:val="none"/>
        </w:rPr>
      </w:pPr>
      <w:r>
        <w:rPr>
          <w:highlight w:val="none"/>
        </w:rPr>
        <w:t>3</w:t>
      </w:r>
      <w:r>
        <w:rPr>
          <w:rFonts w:hint="eastAsia"/>
          <w:highlight w:val="none"/>
        </w:rPr>
        <w:t>4</w:t>
      </w:r>
      <w:r>
        <w:rPr>
          <w:highlight w:val="none"/>
        </w:rPr>
        <w:t>.2.2 大写金额和小写金额不一致的，以大写金额为准；</w:t>
      </w:r>
    </w:p>
    <w:p>
      <w:pPr>
        <w:tabs>
          <w:tab w:val="clear" w:pos="426"/>
        </w:tabs>
        <w:rPr>
          <w:highlight w:val="none"/>
        </w:rPr>
      </w:pPr>
      <w:r>
        <w:rPr>
          <w:highlight w:val="none"/>
        </w:rPr>
        <w:t>3</w:t>
      </w:r>
      <w:r>
        <w:rPr>
          <w:rFonts w:hint="eastAsia"/>
          <w:highlight w:val="none"/>
        </w:rPr>
        <w:t>4</w:t>
      </w:r>
      <w:r>
        <w:rPr>
          <w:highlight w:val="none"/>
        </w:rPr>
        <w:t>.2.3 单价金额小数点或者百分比有明显错位的，以谈判初始报价一览表的总价为准，并修改单价；</w:t>
      </w:r>
    </w:p>
    <w:p>
      <w:pPr>
        <w:tabs>
          <w:tab w:val="clear" w:pos="426"/>
        </w:tabs>
        <w:rPr>
          <w:highlight w:val="none"/>
        </w:rPr>
      </w:pPr>
      <w:r>
        <w:rPr>
          <w:highlight w:val="none"/>
        </w:rPr>
        <w:t>3</w:t>
      </w:r>
      <w:r>
        <w:rPr>
          <w:rFonts w:hint="eastAsia"/>
          <w:highlight w:val="none"/>
        </w:rPr>
        <w:t>4</w:t>
      </w:r>
      <w:r>
        <w:rPr>
          <w:highlight w:val="none"/>
        </w:rPr>
        <w:t>.2.4 总价金额与按单价汇总金额不一致的，以单价金额计算结果为准；</w:t>
      </w:r>
    </w:p>
    <w:p>
      <w:pPr>
        <w:tabs>
          <w:tab w:val="clear" w:pos="426"/>
        </w:tabs>
        <w:rPr>
          <w:highlight w:val="none"/>
        </w:rPr>
      </w:pPr>
      <w:r>
        <w:rPr>
          <w:highlight w:val="none"/>
        </w:rPr>
        <w:t>3</w:t>
      </w:r>
      <w:r>
        <w:rPr>
          <w:rFonts w:hint="eastAsia"/>
          <w:highlight w:val="none"/>
        </w:rPr>
        <w:t>4</w:t>
      </w:r>
      <w:r>
        <w:rPr>
          <w:highlight w:val="none"/>
        </w:rPr>
        <w:t>.2.5 对不同文字文本谈判应答文件的解释发生异议的，以中文文本为准。</w:t>
      </w:r>
    </w:p>
    <w:p>
      <w:pPr>
        <w:tabs>
          <w:tab w:val="clear" w:pos="426"/>
        </w:tabs>
        <w:rPr>
          <w:highlight w:val="none"/>
        </w:rPr>
      </w:pPr>
      <w:r>
        <w:rPr>
          <w:rFonts w:hint="eastAsia"/>
          <w:highlight w:val="none"/>
        </w:rPr>
        <w:t>34</w:t>
      </w:r>
      <w:r>
        <w:rPr>
          <w:highlight w:val="none"/>
        </w:rPr>
        <w:t xml:space="preserve">.3  </w:t>
      </w:r>
      <w:r>
        <w:rPr>
          <w:rFonts w:hint="eastAsia"/>
          <w:highlight w:val="none"/>
        </w:rPr>
        <w:t>对于谈判应答文件中不构成实质性偏差的不正规、不一致或不规则，给评审带来不便，谈判小组可以接受。</w:t>
      </w:r>
    </w:p>
    <w:p>
      <w:pPr>
        <w:tabs>
          <w:tab w:val="clear" w:pos="426"/>
        </w:tabs>
        <w:rPr>
          <w:highlight w:val="none"/>
        </w:rPr>
      </w:pPr>
      <w:r>
        <w:rPr>
          <w:rFonts w:hint="eastAsia"/>
          <w:highlight w:val="none"/>
        </w:rPr>
        <w:t>34.4  供应商的谈判应答报价是可变动价格的，或包含了价格调整要求的，或谈判应答报价中提供</w:t>
      </w:r>
      <w:r>
        <w:rPr>
          <w:highlight w:val="none"/>
        </w:rPr>
        <w:t>两个</w:t>
      </w:r>
      <w:r>
        <w:rPr>
          <w:rFonts w:hint="eastAsia"/>
          <w:highlight w:val="none"/>
        </w:rPr>
        <w:t>（含两个）以上的</w:t>
      </w:r>
      <w:r>
        <w:rPr>
          <w:highlight w:val="none"/>
        </w:rPr>
        <w:t>报价</w:t>
      </w:r>
      <w:r>
        <w:rPr>
          <w:rFonts w:hint="eastAsia"/>
          <w:highlight w:val="none"/>
        </w:rPr>
        <w:t>（</w:t>
      </w:r>
      <w:r>
        <w:rPr>
          <w:highlight w:val="none"/>
        </w:rPr>
        <w:t>竞争性谈判文件规定提交备选谈判应答方案的除外</w:t>
      </w:r>
      <w:r>
        <w:rPr>
          <w:rFonts w:hint="eastAsia"/>
          <w:highlight w:val="none"/>
        </w:rPr>
        <w:t>），或严重漏项，谈判小组无法进行判断的，谈判小组可以作谈判应答无效处理。</w:t>
      </w:r>
    </w:p>
    <w:p>
      <w:pPr>
        <w:tabs>
          <w:tab w:val="clear" w:pos="426"/>
        </w:tabs>
        <w:rPr>
          <w:highlight w:val="none"/>
        </w:rPr>
      </w:pPr>
      <w:r>
        <w:rPr>
          <w:rFonts w:hint="eastAsia"/>
          <w:highlight w:val="none"/>
        </w:rPr>
        <w:t>34.5根据上述修正错误的原则及方法调整或修正谈判应答文件的谈判应答报价，供应商同意后，调整后的谈判应答报价对供应商起约束作用。</w:t>
      </w:r>
      <w:r>
        <w:rPr>
          <w:rFonts w:hint="eastAsia"/>
          <w:b/>
          <w:bCs/>
          <w:highlight w:val="none"/>
        </w:rPr>
        <w:t>如果供应商不接受修正后的报价，则其谈判应答将被拒绝并且其谈判应答保证金也将被没收，并不影响谈判工作。</w:t>
      </w:r>
    </w:p>
    <w:p>
      <w:pPr>
        <w:tabs>
          <w:tab w:val="clear" w:pos="426"/>
        </w:tabs>
        <w:rPr>
          <w:highlight w:val="none"/>
        </w:rPr>
      </w:pPr>
      <w:bookmarkStart w:id="303" w:name="_Toc100052401"/>
      <w:r>
        <w:rPr>
          <w:rFonts w:hint="eastAsia"/>
          <w:highlight w:val="none"/>
        </w:rPr>
        <w:t>35.谈判应答文件的</w:t>
      </w:r>
      <w:bookmarkEnd w:id="294"/>
      <w:bookmarkEnd w:id="295"/>
      <w:bookmarkEnd w:id="296"/>
      <w:bookmarkEnd w:id="297"/>
      <w:r>
        <w:rPr>
          <w:rFonts w:hint="eastAsia"/>
          <w:highlight w:val="none"/>
        </w:rPr>
        <w:t>评审、比较</w:t>
      </w:r>
      <w:bookmarkEnd w:id="303"/>
      <w:r>
        <w:rPr>
          <w:rFonts w:hint="eastAsia"/>
          <w:highlight w:val="none"/>
        </w:rPr>
        <w:t>和否决</w:t>
      </w:r>
    </w:p>
    <w:p>
      <w:pPr>
        <w:tabs>
          <w:tab w:val="clear" w:pos="426"/>
        </w:tabs>
        <w:rPr>
          <w:highlight w:val="none"/>
        </w:rPr>
      </w:pPr>
      <w:r>
        <w:rPr>
          <w:rFonts w:hint="eastAsia"/>
          <w:highlight w:val="none"/>
        </w:rPr>
        <w:t>35.1谈判小组将按照本须知规定，仅对在实质上响应采购文件要求的谈判应答文件进行评审和比较。</w:t>
      </w:r>
    </w:p>
    <w:p>
      <w:pPr>
        <w:tabs>
          <w:tab w:val="clear" w:pos="426"/>
        </w:tabs>
        <w:rPr>
          <w:highlight w:val="none"/>
        </w:rPr>
      </w:pPr>
      <w:r>
        <w:rPr>
          <w:rFonts w:hint="eastAsia"/>
          <w:highlight w:val="none"/>
        </w:rPr>
        <w:t>35.2</w:t>
      </w:r>
      <w:r>
        <w:rPr>
          <w:highlight w:val="none"/>
        </w:rPr>
        <w:t>在评审过程中，谈判小组可以以书面形式要求供应商就谈判应答文件中含义不明确的内容进行书面说明并提供相关材料。</w:t>
      </w:r>
    </w:p>
    <w:p>
      <w:pPr>
        <w:tabs>
          <w:tab w:val="clear" w:pos="426"/>
        </w:tabs>
        <w:rPr>
          <w:highlight w:val="none"/>
        </w:rPr>
      </w:pPr>
      <w:r>
        <w:rPr>
          <w:rFonts w:hint="eastAsia"/>
          <w:highlight w:val="none"/>
        </w:rPr>
        <w:t>35.3谈判</w:t>
      </w:r>
      <w:r>
        <w:rPr>
          <w:highlight w:val="none"/>
        </w:rPr>
        <w:t>小组依据竞争性谈判文件规定的评审办法和标准，对谈判应答文件进行评审和比较，向采购人提出书面谈判报告。</w:t>
      </w:r>
    </w:p>
    <w:p>
      <w:pPr>
        <w:tabs>
          <w:tab w:val="clear" w:pos="426"/>
        </w:tabs>
        <w:rPr>
          <w:highlight w:val="none"/>
        </w:rPr>
      </w:pPr>
      <w:r>
        <w:rPr>
          <w:rFonts w:hint="eastAsia"/>
          <w:highlight w:val="none"/>
        </w:rPr>
        <w:t>35</w:t>
      </w:r>
      <w:r>
        <w:rPr>
          <w:highlight w:val="none"/>
        </w:rPr>
        <w:t>.4谈判办法和标准</w:t>
      </w:r>
    </w:p>
    <w:p>
      <w:pPr>
        <w:tabs>
          <w:tab w:val="clear" w:pos="426"/>
        </w:tabs>
        <w:rPr>
          <w:highlight w:val="none"/>
        </w:rPr>
      </w:pPr>
      <w:r>
        <w:rPr>
          <w:rFonts w:hint="eastAsia"/>
          <w:highlight w:val="none"/>
        </w:rPr>
        <w:t>本项目采用的谈判方法见本项目竞争性谈判文件专用条款的相关内容。</w:t>
      </w:r>
    </w:p>
    <w:p>
      <w:pPr>
        <w:tabs>
          <w:tab w:val="clear" w:pos="426"/>
        </w:tabs>
        <w:rPr>
          <w:highlight w:val="none"/>
        </w:rPr>
      </w:pPr>
      <w:r>
        <w:rPr>
          <w:rFonts w:hint="eastAsia"/>
          <w:highlight w:val="none"/>
        </w:rPr>
        <w:t>36.实地考察、演示或设备测试</w:t>
      </w:r>
    </w:p>
    <w:p>
      <w:pPr>
        <w:tabs>
          <w:tab w:val="clear" w:pos="426"/>
        </w:tabs>
        <w:rPr>
          <w:highlight w:val="none"/>
        </w:rPr>
      </w:pPr>
      <w:r>
        <w:rPr>
          <w:rFonts w:hint="eastAsia"/>
          <w:highlight w:val="none"/>
        </w:rPr>
        <w:t>36.1在竞争性谈判过程中，谈判小组有权决定是否对本项目供应商进行现场勘察或实地考察或检验有关证明材料的原件。供应商应随时做好接受检查的准备。</w:t>
      </w:r>
    </w:p>
    <w:p>
      <w:pPr>
        <w:tabs>
          <w:tab w:val="clear" w:pos="426"/>
        </w:tabs>
        <w:rPr>
          <w:highlight w:val="none"/>
        </w:rPr>
      </w:pPr>
      <w:r>
        <w:rPr>
          <w:rFonts w:hint="eastAsia"/>
          <w:highlight w:val="none"/>
        </w:rPr>
        <w:t>36.2若竞争性谈判文件要求进行现场演示或设备测试的，供应商应做好相应准备。</w:t>
      </w:r>
    </w:p>
    <w:p>
      <w:pPr>
        <w:tabs>
          <w:tab w:val="clear" w:pos="426"/>
        </w:tabs>
        <w:rPr>
          <w:highlight w:val="none"/>
        </w:rPr>
      </w:pPr>
      <w:r>
        <w:rPr>
          <w:rFonts w:hint="eastAsia"/>
          <w:highlight w:val="none"/>
        </w:rPr>
        <w:t>37</w:t>
      </w:r>
      <w:r>
        <w:rPr>
          <w:highlight w:val="none"/>
        </w:rPr>
        <w:t>．采购人拒绝谈判应答文件的权力</w:t>
      </w:r>
    </w:p>
    <w:p>
      <w:pPr>
        <w:tabs>
          <w:tab w:val="clear" w:pos="426"/>
        </w:tabs>
        <w:rPr>
          <w:highlight w:val="none"/>
        </w:rPr>
      </w:pPr>
      <w:r>
        <w:rPr>
          <w:rFonts w:hint="eastAsia"/>
          <w:highlight w:val="none"/>
        </w:rPr>
        <w:t>37</w:t>
      </w:r>
      <w:r>
        <w:rPr>
          <w:highlight w:val="none"/>
        </w:rPr>
        <w:t>.1采购人不承诺将合同授予报价最低的供应商。采购人在发出成交通知书前，有权依据谈判小组的谈判报告拒绝不合格的谈判应答文件。</w:t>
      </w:r>
    </w:p>
    <w:p>
      <w:pPr>
        <w:pStyle w:val="5"/>
        <w:tabs>
          <w:tab w:val="clear" w:pos="426"/>
        </w:tabs>
        <w:rPr>
          <w:highlight w:val="none"/>
        </w:rPr>
      </w:pPr>
      <w:bookmarkStart w:id="304" w:name="_Toc432592827"/>
      <w:bookmarkStart w:id="305" w:name="_Toc398220535"/>
      <w:bookmarkStart w:id="306" w:name="_Toc28983"/>
      <w:r>
        <w:rPr>
          <w:rFonts w:hint="eastAsia"/>
          <w:highlight w:val="none"/>
        </w:rPr>
        <w:t>第七章 公示</w:t>
      </w:r>
      <w:bookmarkEnd w:id="304"/>
      <w:bookmarkEnd w:id="305"/>
      <w:r>
        <w:rPr>
          <w:rFonts w:hint="eastAsia"/>
          <w:highlight w:val="none"/>
        </w:rPr>
        <w:t>及成交</w:t>
      </w:r>
      <w:bookmarkEnd w:id="306"/>
    </w:p>
    <w:p>
      <w:pPr>
        <w:tabs>
          <w:tab w:val="clear" w:pos="426"/>
        </w:tabs>
        <w:rPr>
          <w:highlight w:val="none"/>
        </w:rPr>
      </w:pPr>
      <w:bookmarkStart w:id="307" w:name="_Toc100052405"/>
      <w:bookmarkStart w:id="308" w:name="_Toc73518159"/>
      <w:bookmarkStart w:id="309" w:name="_Toc73517681"/>
      <w:bookmarkStart w:id="310" w:name="_Toc73521676"/>
      <w:bookmarkStart w:id="311" w:name="_Toc73521588"/>
      <w:r>
        <w:rPr>
          <w:rFonts w:hint="eastAsia"/>
          <w:highlight w:val="none"/>
        </w:rPr>
        <w:t>38.成交公告</w:t>
      </w:r>
      <w:bookmarkEnd w:id="307"/>
    </w:p>
    <w:p>
      <w:pPr>
        <w:tabs>
          <w:tab w:val="clear" w:pos="426"/>
        </w:tabs>
        <w:rPr>
          <w:highlight w:val="none"/>
        </w:rPr>
      </w:pPr>
      <w:r>
        <w:rPr>
          <w:rFonts w:hint="eastAsia"/>
          <w:highlight w:val="none"/>
        </w:rPr>
        <w:t>38.1为体现“公开、公平、公正”的原则，谈判结束后，采购代理机构将在采购代理机构官网：（</w:t>
      </w:r>
      <w:r>
        <w:rPr>
          <w:highlight w:val="none"/>
        </w:rPr>
        <w:t>http://www.szsszx.com/</w:t>
      </w:r>
      <w:r>
        <w:rPr>
          <w:rFonts w:hint="eastAsia"/>
          <w:highlight w:val="none"/>
        </w:rPr>
        <w:t>）上发布成交结果公告，公示期为3个日历日。供应商如对谈判结果有异议，请于公示期内，以书面的形式向我公司反映。若在公示期内未提出异议，则视为认同该谈判结果。</w:t>
      </w:r>
    </w:p>
    <w:p>
      <w:pPr>
        <w:tabs>
          <w:tab w:val="clear" w:pos="426"/>
        </w:tabs>
        <w:rPr>
          <w:highlight w:val="none"/>
        </w:rPr>
      </w:pPr>
      <w:r>
        <w:rPr>
          <w:rFonts w:hint="eastAsia"/>
          <w:highlight w:val="none"/>
        </w:rPr>
        <w:t>38.2质疑投诉人应保证质疑投诉内容的真实性和可靠性，并承担相应的法律责任。</w:t>
      </w:r>
    </w:p>
    <w:p>
      <w:pPr>
        <w:tabs>
          <w:tab w:val="clear" w:pos="426"/>
        </w:tabs>
        <w:rPr>
          <w:highlight w:val="none"/>
        </w:rPr>
      </w:pPr>
      <w:bookmarkStart w:id="312" w:name="_Toc100052406"/>
      <w:r>
        <w:rPr>
          <w:rFonts w:hint="eastAsia"/>
          <w:highlight w:val="none"/>
        </w:rPr>
        <w:t>39.成交通知书</w:t>
      </w:r>
      <w:bookmarkEnd w:id="312"/>
    </w:p>
    <w:bookmarkEnd w:id="308"/>
    <w:bookmarkEnd w:id="309"/>
    <w:bookmarkEnd w:id="310"/>
    <w:bookmarkEnd w:id="311"/>
    <w:p>
      <w:pPr>
        <w:tabs>
          <w:tab w:val="clear" w:pos="426"/>
        </w:tabs>
        <w:rPr>
          <w:highlight w:val="none"/>
        </w:rPr>
      </w:pPr>
      <w:r>
        <w:rPr>
          <w:rFonts w:hint="eastAsia"/>
          <w:highlight w:val="none"/>
        </w:rPr>
        <w:t>39</w:t>
      </w:r>
      <w:r>
        <w:rPr>
          <w:highlight w:val="none"/>
        </w:rPr>
        <w:t>.</w:t>
      </w:r>
      <w:r>
        <w:rPr>
          <w:rFonts w:hint="eastAsia"/>
          <w:highlight w:val="none"/>
        </w:rPr>
        <w:t>1成交公告公布后,公示期内无人投诉,请成交人凭单位证明及本人身份证到采购代理机构领取《成交通知书》。</w:t>
      </w:r>
    </w:p>
    <w:p>
      <w:pPr>
        <w:tabs>
          <w:tab w:val="clear" w:pos="426"/>
        </w:tabs>
        <w:rPr>
          <w:highlight w:val="none"/>
        </w:rPr>
      </w:pPr>
      <w:r>
        <w:rPr>
          <w:rFonts w:hint="eastAsia"/>
          <w:highlight w:val="none"/>
        </w:rPr>
        <w:t>39</w:t>
      </w:r>
      <w:r>
        <w:rPr>
          <w:highlight w:val="none"/>
        </w:rPr>
        <w:t>.2</w:t>
      </w:r>
      <w:r>
        <w:rPr>
          <w:rFonts w:hint="eastAsia"/>
          <w:highlight w:val="none"/>
        </w:rPr>
        <w:t>成交通知书是合同的重要组成部分。</w:t>
      </w:r>
    </w:p>
    <w:p>
      <w:pPr>
        <w:tabs>
          <w:tab w:val="clear" w:pos="426"/>
        </w:tabs>
        <w:rPr>
          <w:highlight w:val="none"/>
        </w:rPr>
      </w:pPr>
      <w:r>
        <w:rPr>
          <w:rFonts w:hint="eastAsia"/>
          <w:highlight w:val="none"/>
        </w:rPr>
        <w:t>39.3因质疑投诉或其它原因导致项目结果变更或采购终止的，我公司有权收回成交通知书或终止采购合同。</w:t>
      </w:r>
    </w:p>
    <w:p>
      <w:pPr>
        <w:pStyle w:val="5"/>
        <w:tabs>
          <w:tab w:val="clear" w:pos="426"/>
        </w:tabs>
        <w:rPr>
          <w:highlight w:val="none"/>
        </w:rPr>
      </w:pPr>
      <w:bookmarkStart w:id="313" w:name="bt合同的授予"/>
      <w:bookmarkEnd w:id="313"/>
      <w:bookmarkStart w:id="314" w:name="_Toc432592828"/>
      <w:bookmarkStart w:id="315" w:name="_Toc398220536"/>
      <w:bookmarkStart w:id="316" w:name="_Toc26399"/>
      <w:bookmarkStart w:id="317" w:name="_Toc100052407"/>
      <w:bookmarkStart w:id="318" w:name="_Toc73517678"/>
      <w:bookmarkStart w:id="319" w:name="_Toc101074884"/>
      <w:bookmarkStart w:id="320" w:name="_Toc73518156"/>
      <w:r>
        <w:rPr>
          <w:rFonts w:hint="eastAsia"/>
          <w:highlight w:val="none"/>
        </w:rPr>
        <w:t xml:space="preserve">第八章 </w:t>
      </w:r>
      <w:bookmarkEnd w:id="314"/>
      <w:bookmarkEnd w:id="315"/>
      <w:r>
        <w:rPr>
          <w:rFonts w:hint="eastAsia"/>
          <w:highlight w:val="none"/>
        </w:rPr>
        <w:t>供应商工作范围</w:t>
      </w:r>
      <w:bookmarkEnd w:id="316"/>
    </w:p>
    <w:p>
      <w:pPr>
        <w:tabs>
          <w:tab w:val="clear" w:pos="426"/>
        </w:tabs>
        <w:rPr>
          <w:highlight w:val="none"/>
        </w:rPr>
      </w:pPr>
      <w:r>
        <w:rPr>
          <w:rFonts w:hint="eastAsia"/>
          <w:highlight w:val="none"/>
        </w:rPr>
        <w:t>40</w:t>
      </w:r>
      <w:r>
        <w:rPr>
          <w:highlight w:val="none"/>
        </w:rPr>
        <w:t>.1 供应商需按竞争性谈判文件的要求完成本次采购项目，及时提交项目成果及执行售后服务工作。对提交项目成果的质量负责。</w:t>
      </w:r>
    </w:p>
    <w:p>
      <w:pPr>
        <w:tabs>
          <w:tab w:val="clear" w:pos="426"/>
        </w:tabs>
        <w:rPr>
          <w:highlight w:val="none"/>
        </w:rPr>
      </w:pPr>
      <w:r>
        <w:rPr>
          <w:rFonts w:hint="eastAsia"/>
          <w:highlight w:val="none"/>
        </w:rPr>
        <w:t>40</w:t>
      </w:r>
      <w:r>
        <w:rPr>
          <w:highlight w:val="none"/>
        </w:rPr>
        <w:t>.2 项目成果中的相关技术内容，须满足国家和行业现行规范和标准要求。</w:t>
      </w:r>
    </w:p>
    <w:p>
      <w:pPr>
        <w:tabs>
          <w:tab w:val="clear" w:pos="426"/>
        </w:tabs>
        <w:rPr>
          <w:highlight w:val="none"/>
        </w:rPr>
      </w:pPr>
      <w:r>
        <w:rPr>
          <w:rFonts w:hint="eastAsia"/>
          <w:highlight w:val="none"/>
        </w:rPr>
        <w:t>40</w:t>
      </w:r>
      <w:r>
        <w:rPr>
          <w:highlight w:val="none"/>
        </w:rPr>
        <w:t>.3 供应商必须对竞争性谈判文件的内容按顺序逐项做出实质性应答，提供具体、详细的资料，任何差异必须列表说明。未按照竞争性谈判文件要求编制的谈判应答文件，将被视为不满足竞争性谈判文件要求，供应商将承担谈判应答文件作废的风险。采购人只接受等同于或优于竞争性谈判文件规定的标准。</w:t>
      </w:r>
    </w:p>
    <w:p>
      <w:pPr>
        <w:tabs>
          <w:tab w:val="clear" w:pos="426"/>
        </w:tabs>
        <w:rPr>
          <w:highlight w:val="none"/>
        </w:rPr>
      </w:pPr>
      <w:r>
        <w:rPr>
          <w:rFonts w:hint="eastAsia"/>
          <w:highlight w:val="none"/>
        </w:rPr>
        <w:t>40</w:t>
      </w:r>
      <w:r>
        <w:rPr>
          <w:highlight w:val="none"/>
        </w:rPr>
        <w:t>.4供应商必须对所提供的项目成果，版权及所有权归采购人所有。</w:t>
      </w:r>
    </w:p>
    <w:p>
      <w:pPr>
        <w:tabs>
          <w:tab w:val="clear" w:pos="426"/>
        </w:tabs>
        <w:rPr>
          <w:highlight w:val="none"/>
        </w:rPr>
      </w:pPr>
      <w:r>
        <w:rPr>
          <w:rFonts w:hint="eastAsia"/>
          <w:highlight w:val="none"/>
        </w:rPr>
        <w:t>40</w:t>
      </w:r>
      <w:r>
        <w:rPr>
          <w:highlight w:val="none"/>
        </w:rPr>
        <w:t>.5成交供应商须负责保护采购人的利益不受任何损害。项目成果中一切由于文字、商标和技术专利等侵权引起的法律裁决、诉讼和费用均与采购人无关，由成交供应商负责。</w:t>
      </w:r>
    </w:p>
    <w:bookmarkEnd w:id="317"/>
    <w:bookmarkEnd w:id="318"/>
    <w:bookmarkEnd w:id="319"/>
    <w:bookmarkEnd w:id="320"/>
    <w:p>
      <w:pPr>
        <w:pStyle w:val="5"/>
        <w:tabs>
          <w:tab w:val="clear" w:pos="426"/>
        </w:tabs>
        <w:rPr>
          <w:sz w:val="28"/>
          <w:szCs w:val="28"/>
          <w:highlight w:val="none"/>
        </w:rPr>
      </w:pPr>
      <w:bookmarkStart w:id="321" w:name="_Toc398220537"/>
      <w:bookmarkStart w:id="322" w:name="_Toc1965"/>
      <w:bookmarkStart w:id="323" w:name="_Toc432592829"/>
      <w:r>
        <w:rPr>
          <w:rFonts w:hint="eastAsia"/>
          <w:highlight w:val="none"/>
        </w:rPr>
        <w:t>第九章 合同的授予与备案</w:t>
      </w:r>
      <w:bookmarkEnd w:id="321"/>
      <w:bookmarkEnd w:id="322"/>
      <w:bookmarkEnd w:id="323"/>
    </w:p>
    <w:p>
      <w:pPr>
        <w:tabs>
          <w:tab w:val="clear" w:pos="426"/>
        </w:tabs>
        <w:rPr>
          <w:highlight w:val="none"/>
        </w:rPr>
      </w:pPr>
      <w:bookmarkStart w:id="324" w:name="_33._合同授予标准"/>
      <w:bookmarkEnd w:id="324"/>
      <w:bookmarkStart w:id="325" w:name="_Toc201401599"/>
      <w:bookmarkStart w:id="326" w:name="_Toc201401407"/>
      <w:bookmarkStart w:id="327" w:name="_Toc201997860"/>
      <w:r>
        <w:rPr>
          <w:rFonts w:hint="eastAsia"/>
          <w:highlight w:val="none"/>
        </w:rPr>
        <w:t>41.</w:t>
      </w:r>
      <w:bookmarkEnd w:id="325"/>
      <w:bookmarkEnd w:id="326"/>
      <w:r>
        <w:rPr>
          <w:rFonts w:hint="eastAsia"/>
          <w:highlight w:val="none"/>
        </w:rPr>
        <w:t>履约担保</w:t>
      </w:r>
      <w:bookmarkEnd w:id="327"/>
    </w:p>
    <w:p>
      <w:pPr>
        <w:tabs>
          <w:tab w:val="clear" w:pos="426"/>
        </w:tabs>
        <w:rPr>
          <w:highlight w:val="none"/>
        </w:rPr>
      </w:pPr>
      <w:r>
        <w:rPr>
          <w:rFonts w:hint="eastAsia"/>
          <w:highlight w:val="none"/>
        </w:rPr>
        <w:t>41.1  本项目履约担保的相关要求：详见“谈判应答须知前附表”。</w:t>
      </w:r>
    </w:p>
    <w:p>
      <w:pPr>
        <w:tabs>
          <w:tab w:val="clear" w:pos="426"/>
        </w:tabs>
        <w:rPr>
          <w:highlight w:val="none"/>
        </w:rPr>
      </w:pPr>
      <w:r>
        <w:rPr>
          <w:rFonts w:hint="eastAsia"/>
          <w:highlight w:val="none"/>
        </w:rPr>
        <w:t>41.2  在签订合同前，成交人应按规定向采购人提交履约担保，采用履约保函形式的可参照使用本竞争性谈判文件提供的格式。</w:t>
      </w:r>
    </w:p>
    <w:p>
      <w:pPr>
        <w:tabs>
          <w:tab w:val="clear" w:pos="426"/>
        </w:tabs>
        <w:rPr>
          <w:highlight w:val="none"/>
        </w:rPr>
      </w:pPr>
      <w:r>
        <w:rPr>
          <w:rFonts w:hint="eastAsia"/>
          <w:highlight w:val="none"/>
        </w:rPr>
        <w:t>41.3  联合体成交的，其履约担保由联合体牵头人提交，并应符合本节第6.2条、第18.1条的规定。</w:t>
      </w:r>
    </w:p>
    <w:p>
      <w:pPr>
        <w:tabs>
          <w:tab w:val="clear" w:pos="426"/>
        </w:tabs>
        <w:rPr>
          <w:highlight w:val="none"/>
        </w:rPr>
      </w:pPr>
      <w:r>
        <w:rPr>
          <w:rFonts w:hint="eastAsia"/>
          <w:highlight w:val="none"/>
        </w:rPr>
        <w:t>41.4  如果成交人拒不提交本节第42.1条、第42.2条要求的履约担保的，采购人可取消其成交资格，并没收其谈判应答担保。</w:t>
      </w:r>
    </w:p>
    <w:p>
      <w:pPr>
        <w:tabs>
          <w:tab w:val="clear" w:pos="426"/>
        </w:tabs>
        <w:rPr>
          <w:highlight w:val="none"/>
        </w:rPr>
      </w:pPr>
      <w:bookmarkStart w:id="328" w:name="_Toc201401408"/>
      <w:bookmarkStart w:id="329" w:name="_Toc201401600"/>
      <w:bookmarkStart w:id="330" w:name="_Toc201997862"/>
      <w:r>
        <w:rPr>
          <w:rFonts w:hint="eastAsia"/>
          <w:highlight w:val="none"/>
        </w:rPr>
        <w:t>42.  签订合同</w:t>
      </w:r>
      <w:bookmarkEnd w:id="328"/>
      <w:bookmarkEnd w:id="329"/>
      <w:bookmarkEnd w:id="330"/>
    </w:p>
    <w:p>
      <w:pPr>
        <w:tabs>
          <w:tab w:val="clear" w:pos="426"/>
        </w:tabs>
        <w:rPr>
          <w:highlight w:val="none"/>
        </w:rPr>
      </w:pPr>
      <w:r>
        <w:rPr>
          <w:rFonts w:hint="eastAsia"/>
          <w:highlight w:val="none"/>
        </w:rPr>
        <w:t>42.1  采购人和成交人应当按“谈判应答须知前附表”的规定，依据竞争性谈判文件和成交人的谈判应答文件订立书面合同。</w:t>
      </w:r>
    </w:p>
    <w:p>
      <w:pPr>
        <w:tabs>
          <w:tab w:val="clear" w:pos="426"/>
        </w:tabs>
        <w:rPr>
          <w:highlight w:val="none"/>
        </w:rPr>
      </w:pPr>
      <w:r>
        <w:rPr>
          <w:rFonts w:hint="eastAsia"/>
          <w:highlight w:val="none"/>
        </w:rPr>
        <w:t>42.2  成交人无正当理由拒签合同的，或者在签订合同时向采购人提出附加条件或者更改合同实质性内容的，采购人可取消其成交资格，并没收其谈判应答担保；给采购人的损失超过其谈判应答担保数额的，成交人应当对超过部分予以赔偿。</w:t>
      </w:r>
    </w:p>
    <w:p>
      <w:pPr>
        <w:pStyle w:val="5"/>
        <w:tabs>
          <w:tab w:val="clear" w:pos="426"/>
        </w:tabs>
        <w:rPr>
          <w:highlight w:val="none"/>
        </w:rPr>
      </w:pPr>
      <w:bookmarkStart w:id="331" w:name="_Toc398220538"/>
      <w:bookmarkStart w:id="332" w:name="_Toc432592830"/>
      <w:bookmarkStart w:id="333" w:name="_Toc4125"/>
      <w:r>
        <w:rPr>
          <w:rFonts w:hint="eastAsia"/>
          <w:highlight w:val="none"/>
        </w:rPr>
        <w:t>第十章 质疑受理</w:t>
      </w:r>
      <w:bookmarkEnd w:id="331"/>
      <w:bookmarkEnd w:id="332"/>
      <w:bookmarkEnd w:id="333"/>
    </w:p>
    <w:p>
      <w:pPr>
        <w:tabs>
          <w:tab w:val="clear" w:pos="426"/>
        </w:tabs>
        <w:rPr>
          <w:highlight w:val="none"/>
        </w:rPr>
      </w:pPr>
      <w:r>
        <w:rPr>
          <w:rFonts w:hint="eastAsia"/>
          <w:highlight w:val="none"/>
        </w:rPr>
        <w:t>43.质疑受理机构</w:t>
      </w:r>
    </w:p>
    <w:p>
      <w:pPr>
        <w:tabs>
          <w:tab w:val="clear" w:pos="426"/>
        </w:tabs>
        <w:rPr>
          <w:sz w:val="22"/>
          <w:szCs w:val="22"/>
          <w:highlight w:val="none"/>
        </w:rPr>
      </w:pPr>
      <w:r>
        <w:rPr>
          <w:rFonts w:hint="eastAsia"/>
          <w:highlight w:val="none"/>
        </w:rPr>
        <w:t>采购代理机构及采购人</w:t>
      </w:r>
      <w:r>
        <w:rPr>
          <w:highlight w:val="none"/>
        </w:rPr>
        <w:t>负责受理和答复质疑</w:t>
      </w:r>
      <w:r>
        <w:rPr>
          <w:sz w:val="22"/>
          <w:szCs w:val="22"/>
          <w:highlight w:val="none"/>
        </w:rPr>
        <w:t>。</w:t>
      </w:r>
    </w:p>
    <w:p>
      <w:pPr>
        <w:tabs>
          <w:tab w:val="clear" w:pos="426"/>
        </w:tabs>
        <w:rPr>
          <w:highlight w:val="none"/>
        </w:rPr>
      </w:pPr>
      <w:r>
        <w:rPr>
          <w:rFonts w:hint="eastAsia"/>
          <w:highlight w:val="none"/>
        </w:rPr>
        <w:t>44.质疑处理原则</w:t>
      </w:r>
    </w:p>
    <w:p>
      <w:pPr>
        <w:tabs>
          <w:tab w:val="clear" w:pos="426"/>
        </w:tabs>
        <w:rPr>
          <w:highlight w:val="none"/>
        </w:rPr>
      </w:pPr>
      <w:r>
        <w:rPr>
          <w:rFonts w:hint="eastAsia"/>
          <w:highlight w:val="none"/>
        </w:rPr>
        <w:t>44.1</w:t>
      </w:r>
      <w:r>
        <w:rPr>
          <w:highlight w:val="none"/>
        </w:rPr>
        <w:t>质疑处理遵循公平、公正、规范、高效的原则。</w:t>
      </w:r>
    </w:p>
    <w:p>
      <w:pPr>
        <w:tabs>
          <w:tab w:val="clear" w:pos="426"/>
        </w:tabs>
        <w:rPr>
          <w:highlight w:val="none"/>
        </w:rPr>
      </w:pPr>
      <w:r>
        <w:rPr>
          <w:rFonts w:hint="eastAsia"/>
          <w:highlight w:val="none"/>
        </w:rPr>
        <w:t>45.2</w:t>
      </w:r>
      <w:r>
        <w:rPr>
          <w:highlight w:val="none"/>
        </w:rPr>
        <w:t>供应商质疑实行实名制和“谁质疑，谁举证”的原则，质疑应有具体的事项及事实根据。</w:t>
      </w:r>
    </w:p>
    <w:p>
      <w:pPr>
        <w:tabs>
          <w:tab w:val="clear" w:pos="426"/>
        </w:tabs>
        <w:rPr>
          <w:highlight w:val="none"/>
        </w:rPr>
      </w:pPr>
      <w:r>
        <w:rPr>
          <w:rFonts w:hint="eastAsia"/>
          <w:highlight w:val="none"/>
        </w:rPr>
        <w:t>46.质疑受理的时效和范围</w:t>
      </w:r>
    </w:p>
    <w:p>
      <w:pPr>
        <w:tabs>
          <w:tab w:val="clear" w:pos="426"/>
        </w:tabs>
        <w:rPr>
          <w:highlight w:val="none"/>
        </w:rPr>
      </w:pPr>
      <w:r>
        <w:rPr>
          <w:rFonts w:hint="eastAsia"/>
          <w:highlight w:val="none"/>
        </w:rPr>
        <w:t>46.1供应商认为采购文件、采购过程和成交、成交结果使自己权益受到损害的，可以在知道或者应知其权益受到损害之日起七个工作日内，以书面形式向采购代理机构提出质疑。</w:t>
      </w:r>
    </w:p>
    <w:p>
      <w:pPr>
        <w:tabs>
          <w:tab w:val="clear" w:pos="426"/>
        </w:tabs>
        <w:rPr>
          <w:highlight w:val="none"/>
        </w:rPr>
      </w:pPr>
      <w:r>
        <w:rPr>
          <w:rFonts w:hint="eastAsia"/>
          <w:highlight w:val="none"/>
        </w:rPr>
        <w:t>46.2供应商对采购文件有疑问的，采购代理机构及采购人按答疑程序处理；供应商对采购文件有异议的，按质疑程序处理。</w:t>
      </w:r>
    </w:p>
    <w:p>
      <w:pPr>
        <w:tabs>
          <w:tab w:val="clear" w:pos="426"/>
        </w:tabs>
        <w:rPr>
          <w:highlight w:val="none"/>
        </w:rPr>
      </w:pPr>
      <w:r>
        <w:rPr>
          <w:rFonts w:hint="eastAsia"/>
          <w:highlight w:val="none"/>
        </w:rPr>
        <w:t>47.质疑条件</w:t>
      </w:r>
    </w:p>
    <w:p>
      <w:pPr>
        <w:tabs>
          <w:tab w:val="clear" w:pos="426"/>
        </w:tabs>
        <w:rPr>
          <w:highlight w:val="none"/>
        </w:rPr>
      </w:pPr>
      <w:r>
        <w:rPr>
          <w:rFonts w:hint="eastAsia"/>
          <w:highlight w:val="none"/>
        </w:rPr>
        <w:t>47.1提出质疑的应是直接参与相应采购项目的供应商。以联合体形式参与的，由联合体共同提出；</w:t>
      </w:r>
    </w:p>
    <w:p>
      <w:pPr>
        <w:tabs>
          <w:tab w:val="clear" w:pos="426"/>
        </w:tabs>
        <w:rPr>
          <w:highlight w:val="none"/>
        </w:rPr>
      </w:pPr>
      <w:r>
        <w:rPr>
          <w:rFonts w:hint="eastAsia"/>
          <w:highlight w:val="none"/>
        </w:rPr>
        <w:t>47.2提供质疑的项目名称和编号、质疑供应商的单位名称、详细地址、邮政编码、联系人及联系电话等基本情况；</w:t>
      </w:r>
    </w:p>
    <w:p>
      <w:pPr>
        <w:tabs>
          <w:tab w:val="clear" w:pos="426"/>
        </w:tabs>
        <w:rPr>
          <w:highlight w:val="none"/>
        </w:rPr>
      </w:pPr>
      <w:r>
        <w:rPr>
          <w:rFonts w:hint="eastAsia"/>
          <w:highlight w:val="none"/>
        </w:rPr>
        <w:t>47.3有质疑的具体事项、请求及理由，并附相关证据材料；</w:t>
      </w:r>
    </w:p>
    <w:p>
      <w:pPr>
        <w:tabs>
          <w:tab w:val="clear" w:pos="426"/>
        </w:tabs>
        <w:rPr>
          <w:highlight w:val="none"/>
        </w:rPr>
      </w:pPr>
      <w:r>
        <w:rPr>
          <w:rFonts w:hint="eastAsia"/>
          <w:highlight w:val="none"/>
        </w:rPr>
        <w:t>47.4质疑书加盖公章，被授权人进行质疑的同时提交法人授权委托书；</w:t>
      </w:r>
    </w:p>
    <w:p>
      <w:pPr>
        <w:tabs>
          <w:tab w:val="clear" w:pos="426"/>
        </w:tabs>
        <w:rPr>
          <w:highlight w:val="none"/>
        </w:rPr>
      </w:pPr>
      <w:r>
        <w:rPr>
          <w:rFonts w:hint="eastAsia"/>
          <w:highlight w:val="none"/>
        </w:rPr>
        <w:t>47.5质疑材料中有外文资料的，应一并附上中文译本，并以中文译本为准。</w:t>
      </w:r>
    </w:p>
    <w:p>
      <w:pPr>
        <w:tabs>
          <w:tab w:val="clear" w:pos="426"/>
        </w:tabs>
        <w:rPr>
          <w:highlight w:val="none"/>
        </w:rPr>
      </w:pPr>
      <w:r>
        <w:rPr>
          <w:rFonts w:hint="eastAsia"/>
          <w:highlight w:val="none"/>
        </w:rPr>
        <w:t>47.6质疑不得超过质疑受理的时效和范围。</w:t>
      </w:r>
    </w:p>
    <w:p>
      <w:pPr>
        <w:tabs>
          <w:tab w:val="clear" w:pos="426"/>
        </w:tabs>
        <w:rPr>
          <w:highlight w:val="none"/>
        </w:rPr>
      </w:pPr>
      <w:r>
        <w:rPr>
          <w:rFonts w:hint="eastAsia"/>
          <w:highlight w:val="none"/>
        </w:rPr>
        <w:t>不符合上述条件的，我采购代理机构不予受理。</w:t>
      </w:r>
    </w:p>
    <w:p>
      <w:pPr>
        <w:tabs>
          <w:tab w:val="clear" w:pos="426"/>
        </w:tabs>
        <w:rPr>
          <w:highlight w:val="none"/>
        </w:rPr>
      </w:pPr>
      <w:r>
        <w:rPr>
          <w:rFonts w:hint="eastAsia"/>
          <w:highlight w:val="none"/>
        </w:rPr>
        <w:t>48.受理质疑办理程序</w:t>
      </w:r>
    </w:p>
    <w:p>
      <w:pPr>
        <w:tabs>
          <w:tab w:val="clear" w:pos="426"/>
        </w:tabs>
        <w:rPr>
          <w:highlight w:val="none"/>
        </w:rPr>
      </w:pPr>
      <w:r>
        <w:rPr>
          <w:rFonts w:hint="eastAsia"/>
          <w:highlight w:val="none"/>
        </w:rPr>
        <w:t>48.1先与质疑供应商进行沟通，以消除因误解或对采购规则和程序的不了解而引起的质疑。对沟通情况满意的，供应商撤回质疑，质疑处理程序终止。</w:t>
      </w:r>
    </w:p>
    <w:p>
      <w:pPr>
        <w:tabs>
          <w:tab w:val="clear" w:pos="426"/>
        </w:tabs>
        <w:rPr>
          <w:highlight w:val="none"/>
        </w:rPr>
      </w:pPr>
      <w:r>
        <w:rPr>
          <w:rFonts w:hint="eastAsia"/>
          <w:highlight w:val="none"/>
        </w:rPr>
        <w:t>48.2处理质疑一般进行书面审查；必要时听取各方当事人的陈述和申辩、进行相关调查；组织原谈判小组或谈判小组进行复议。</w:t>
      </w:r>
    </w:p>
    <w:p>
      <w:pPr>
        <w:tabs>
          <w:tab w:val="clear" w:pos="426"/>
        </w:tabs>
        <w:rPr>
          <w:highlight w:val="none"/>
        </w:rPr>
      </w:pPr>
      <w:r>
        <w:rPr>
          <w:rFonts w:hint="eastAsia"/>
          <w:highlight w:val="none"/>
        </w:rPr>
        <w:t>48.3在质疑处理期间，采购代理机构视情形决定暂停采购活动。</w:t>
      </w:r>
    </w:p>
    <w:p>
      <w:pPr>
        <w:tabs>
          <w:tab w:val="clear" w:pos="426"/>
        </w:tabs>
        <w:rPr>
          <w:highlight w:val="none"/>
        </w:rPr>
      </w:pPr>
      <w:r>
        <w:rPr>
          <w:rFonts w:hint="eastAsia"/>
          <w:highlight w:val="none"/>
        </w:rPr>
        <w:t>48.4采购代理机构原则上在质疑受理之日起十个工作日内书面答复质疑供应商。答复函以直接领取、传真或邮寄方式送达。</w:t>
      </w:r>
    </w:p>
    <w:p>
      <w:pPr>
        <w:tabs>
          <w:tab w:val="clear" w:pos="426"/>
        </w:tabs>
        <w:rPr>
          <w:highlight w:val="none"/>
        </w:rPr>
      </w:pPr>
      <w:r>
        <w:rPr>
          <w:rFonts w:hint="eastAsia"/>
          <w:highlight w:val="none"/>
        </w:rPr>
        <w:t>48.5供应商向采购代理机构提出质疑后，在质疑处理期限内，不得同时向其他方面提起同一质疑。质疑供应商如已就同一事项提起投诉、提请行政复议或诉讼的，质疑程序终止。</w:t>
      </w:r>
    </w:p>
    <w:p>
      <w:pPr>
        <w:tabs>
          <w:tab w:val="clear" w:pos="426"/>
        </w:tabs>
        <w:rPr>
          <w:highlight w:val="none"/>
        </w:rPr>
      </w:pPr>
      <w:r>
        <w:rPr>
          <w:rFonts w:hint="eastAsia"/>
          <w:highlight w:val="none"/>
        </w:rPr>
        <w:t>49.相关责任与义务</w:t>
      </w:r>
    </w:p>
    <w:p>
      <w:pPr>
        <w:tabs>
          <w:tab w:val="clear" w:pos="426"/>
        </w:tabs>
        <w:rPr>
          <w:highlight w:val="none"/>
        </w:rPr>
      </w:pPr>
      <w:r>
        <w:rPr>
          <w:rFonts w:hint="eastAsia"/>
          <w:highlight w:val="none"/>
        </w:rPr>
        <w:t>49.1采购单位、谈判专家和相关供应商等当事人应积极配合采购代理机构进行质疑调查，如实反映情况，及时提供证明材料。</w:t>
      </w:r>
    </w:p>
    <w:p>
      <w:pPr>
        <w:tabs>
          <w:tab w:val="clear" w:pos="426"/>
        </w:tabs>
        <w:rPr>
          <w:highlight w:val="none"/>
        </w:rPr>
      </w:pPr>
      <w:r>
        <w:rPr>
          <w:rFonts w:hint="eastAsia"/>
          <w:highlight w:val="none"/>
        </w:rPr>
        <w:t>49.2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pPr>
        <w:tabs>
          <w:tab w:val="clear" w:pos="426"/>
        </w:tabs>
        <w:rPr>
          <w:highlight w:val="none"/>
        </w:rPr>
      </w:pPr>
      <w:r>
        <w:rPr>
          <w:rFonts w:hint="eastAsia"/>
          <w:highlight w:val="none"/>
        </w:rPr>
        <w:t>49.2.1捏造事实或提供虚假证明材料的；</w:t>
      </w:r>
    </w:p>
    <w:p>
      <w:pPr>
        <w:tabs>
          <w:tab w:val="clear" w:pos="426"/>
        </w:tabs>
        <w:rPr>
          <w:highlight w:val="none"/>
        </w:rPr>
      </w:pPr>
      <w:r>
        <w:rPr>
          <w:rFonts w:hint="eastAsia"/>
          <w:highlight w:val="none"/>
        </w:rPr>
        <w:t>49.2.2假冒他人名义进行质疑的；</w:t>
      </w:r>
    </w:p>
    <w:p>
      <w:pPr>
        <w:tabs>
          <w:tab w:val="clear" w:pos="426"/>
        </w:tabs>
        <w:rPr>
          <w:highlight w:val="none"/>
        </w:rPr>
      </w:pPr>
      <w:r>
        <w:rPr>
          <w:rFonts w:hint="eastAsia"/>
          <w:highlight w:val="none"/>
        </w:rPr>
        <w:t>49.2.3拒不配合进行有关调查、情节严重的。</w:t>
      </w:r>
    </w:p>
    <w:p>
      <w:pPr>
        <w:tabs>
          <w:tab w:val="clear" w:pos="426"/>
        </w:tabs>
        <w:rPr>
          <w:b/>
          <w:highlight w:val="none"/>
        </w:rPr>
      </w:pPr>
      <w:bookmarkStart w:id="334" w:name="_Toc201997863"/>
      <w:bookmarkStart w:id="335" w:name="_Toc201401601"/>
      <w:bookmarkStart w:id="336" w:name="_Toc201401409"/>
      <w:r>
        <w:rPr>
          <w:rFonts w:hint="eastAsia"/>
          <w:highlight w:val="none"/>
        </w:rPr>
        <w:t>50.</w:t>
      </w:r>
      <w:r>
        <w:rPr>
          <w:rFonts w:hint="eastAsia"/>
          <w:b/>
          <w:highlight w:val="none"/>
        </w:rPr>
        <w:t>其他</w:t>
      </w:r>
      <w:bookmarkEnd w:id="334"/>
      <w:bookmarkEnd w:id="335"/>
      <w:bookmarkEnd w:id="336"/>
    </w:p>
    <w:p>
      <w:pPr>
        <w:tabs>
          <w:tab w:val="clear" w:pos="426"/>
        </w:tabs>
        <w:rPr>
          <w:highlight w:val="none"/>
        </w:rPr>
      </w:pPr>
      <w:r>
        <w:rPr>
          <w:rFonts w:hint="eastAsia"/>
          <w:highlight w:val="none"/>
        </w:rPr>
        <w:t>50.1  本竞争性谈判文件的解释权归采购代理机构所有，采购代理机构在征得采购人或相关主管部门同意后，有权在法律允许范围内调整本次竞争性谈判活动的细节及保留最终解释权。</w:t>
      </w:r>
    </w:p>
    <w:p>
      <w:pPr>
        <w:tabs>
          <w:tab w:val="clear" w:pos="426"/>
        </w:tabs>
        <w:rPr>
          <w:highlight w:val="none"/>
        </w:rPr>
      </w:pPr>
      <w:r>
        <w:rPr>
          <w:rFonts w:hint="eastAsia"/>
          <w:highlight w:val="none"/>
        </w:rPr>
        <w:t>50.2 采购代理机构向供应商提供的资料和数据，是采购代理机构现有的能供供应商利用的资料，采购代理机构对供应商由此而作出的推论、理解和结论概不负责。</w:t>
      </w:r>
    </w:p>
    <w:p>
      <w:pPr>
        <w:tabs>
          <w:tab w:val="clear" w:pos="426"/>
        </w:tabs>
        <w:rPr>
          <w:highlight w:val="none"/>
        </w:rPr>
      </w:pPr>
      <w:r>
        <w:rPr>
          <w:rFonts w:hint="eastAsia"/>
          <w:highlight w:val="none"/>
        </w:rPr>
        <w:t>50.3 如果供应商实质上不符合谈判应答资格，即使已购买竞争性谈判文件、参加谈判应答并缴纳各种费用，采购代理机构或采购人可以随时取消其谈判应答或成交资格，采购代理机构或采购人对该供应商的一切损失概不责任。</w:t>
      </w:r>
    </w:p>
    <w:p>
      <w:pPr>
        <w:tabs>
          <w:tab w:val="clear" w:pos="426"/>
        </w:tabs>
        <w:rPr>
          <w:highlight w:val="none"/>
        </w:rPr>
      </w:pPr>
      <w:r>
        <w:rPr>
          <w:rFonts w:hint="eastAsia"/>
          <w:highlight w:val="none"/>
        </w:rPr>
        <w:t>50.4 成交无效的，发出的成交通知书和签订的合同自始没有法律约束力，但不影响合同中存在的有关解决争议方法的条款的效力。</w:t>
      </w:r>
    </w:p>
    <w:p>
      <w:pPr>
        <w:tabs>
          <w:tab w:val="clear" w:pos="426"/>
        </w:tabs>
        <w:rPr>
          <w:highlight w:val="none"/>
        </w:rPr>
      </w:pPr>
      <w:r>
        <w:rPr>
          <w:rFonts w:hint="eastAsia"/>
          <w:highlight w:val="none"/>
        </w:rPr>
        <w:t>50.5 本竞争性谈判文件所有的附件与本竞争性谈判文件具有同等效力。</w:t>
      </w:r>
    </w:p>
    <w:p>
      <w:pPr>
        <w:pStyle w:val="5"/>
        <w:tabs>
          <w:tab w:val="clear" w:pos="426"/>
        </w:tabs>
        <w:rPr>
          <w:highlight w:val="none"/>
        </w:rPr>
      </w:pPr>
      <w:bookmarkStart w:id="337" w:name="_Toc9648"/>
      <w:r>
        <w:rPr>
          <w:rFonts w:hint="eastAsia"/>
          <w:highlight w:val="none"/>
        </w:rPr>
        <w:t>第十一章 解释权</w:t>
      </w:r>
      <w:bookmarkEnd w:id="337"/>
    </w:p>
    <w:p>
      <w:pPr>
        <w:tabs>
          <w:tab w:val="clear" w:pos="426"/>
        </w:tabs>
        <w:rPr>
          <w:highlight w:val="none"/>
        </w:rPr>
      </w:pPr>
      <w:r>
        <w:rPr>
          <w:rFonts w:hint="eastAsia"/>
          <w:highlight w:val="none"/>
        </w:rPr>
        <w:t>51</w:t>
      </w:r>
      <w:r>
        <w:rPr>
          <w:highlight w:val="none"/>
        </w:rPr>
        <w:t>.1本竞争性谈判文件的最终解释权为深圳市深水水务咨询有限公司 ,解释以深圳市深水水务咨询有限公司的解释为准。</w:t>
      </w:r>
    </w:p>
    <w:p>
      <w:pPr>
        <w:tabs>
          <w:tab w:val="clear" w:pos="426"/>
        </w:tabs>
        <w:rPr>
          <w:highlight w:val="none"/>
        </w:rPr>
      </w:pPr>
      <w:r>
        <w:rPr>
          <w:rFonts w:hint="eastAsia"/>
          <w:highlight w:val="none"/>
        </w:rPr>
        <w:t>51</w:t>
      </w:r>
      <w:r>
        <w:rPr>
          <w:highlight w:val="none"/>
        </w:rPr>
        <w:t>.2竞争性谈判文件未做须知明示,而又有相关法律、法规规定的,供应商应同时遵守相关法律、法规。</w:t>
      </w:r>
    </w:p>
    <w:p>
      <w:pPr>
        <w:tabs>
          <w:tab w:val="clear" w:pos="426"/>
        </w:tabs>
        <w:rPr>
          <w:highlight w:val="none"/>
        </w:rPr>
      </w:pPr>
    </w:p>
    <w:p>
      <w:pPr>
        <w:tabs>
          <w:tab w:val="clear" w:pos="426"/>
        </w:tabs>
        <w:rPr>
          <w:highlight w:val="none"/>
        </w:rPr>
      </w:pPr>
    </w:p>
    <w:p>
      <w:pPr>
        <w:tabs>
          <w:tab w:val="clear" w:pos="426"/>
        </w:tabs>
        <w:rPr>
          <w:highlight w:val="none"/>
        </w:rPr>
      </w:pPr>
    </w:p>
    <w:p>
      <w:pPr>
        <w:pStyle w:val="42"/>
        <w:tabs>
          <w:tab w:val="clear" w:pos="426"/>
        </w:tabs>
        <w:rPr>
          <w:highlight w:val="none"/>
        </w:rPr>
        <w:sectPr>
          <w:pgSz w:w="11906" w:h="16838"/>
          <w:pgMar w:top="1134" w:right="1134" w:bottom="1134" w:left="1418" w:header="851" w:footer="992" w:gutter="0"/>
          <w:cols w:space="425" w:num="1"/>
          <w:titlePg/>
          <w:docGrid w:linePitch="462" w:charSpace="0"/>
        </w:sectPr>
      </w:pPr>
      <w:bookmarkStart w:id="338" w:name="_Toc19633777"/>
    </w:p>
    <w:p>
      <w:pPr>
        <w:tabs>
          <w:tab w:val="clear" w:pos="426"/>
        </w:tabs>
        <w:adjustRightInd/>
        <w:snapToGrid/>
        <w:spacing w:before="280" w:after="290" w:line="377" w:lineRule="auto"/>
        <w:outlineLvl w:val="2"/>
        <w:rPr>
          <w:rFonts w:hint="eastAsia" w:eastAsia="宋体"/>
          <w:b/>
          <w:sz w:val="24"/>
          <w:highlight w:val="none"/>
          <w:lang w:eastAsia="zh-CN"/>
        </w:rPr>
      </w:pPr>
      <w:bookmarkStart w:id="339" w:name="_Toc20670"/>
      <w:r>
        <w:rPr>
          <w:b/>
          <w:bCs/>
          <w:sz w:val="32"/>
          <w:szCs w:val="32"/>
          <w:highlight w:val="none"/>
        </w:rPr>
        <w:br w:type="page"/>
      </w:r>
      <w:r>
        <w:rPr>
          <w:rFonts w:hint="eastAsia"/>
          <w:b/>
          <w:sz w:val="24"/>
          <w:highlight w:val="none"/>
        </w:rPr>
        <w:t>九、技术保障措施</w:t>
      </w:r>
      <w:r>
        <w:rPr>
          <w:rFonts w:hint="eastAsia"/>
          <w:b/>
          <w:sz w:val="24"/>
          <w:highlight w:val="none"/>
          <w:lang w:eastAsia="zh-CN"/>
        </w:rPr>
        <w:t>（</w:t>
      </w:r>
      <w:r>
        <w:rPr>
          <w:rFonts w:hint="eastAsia"/>
          <w:b/>
          <w:sz w:val="24"/>
          <w:highlight w:val="none"/>
          <w:lang w:val="en-US" w:eastAsia="zh-CN"/>
        </w:rPr>
        <w:t>格式自定</w:t>
      </w:r>
      <w:r>
        <w:rPr>
          <w:rFonts w:hint="eastAsia"/>
          <w:b/>
          <w:sz w:val="24"/>
          <w:highlight w:val="none"/>
          <w:lang w:eastAsia="zh-CN"/>
        </w:rPr>
        <w:t>）</w:t>
      </w:r>
    </w:p>
    <w:p>
      <w:pPr>
        <w:pStyle w:val="42"/>
        <w:tabs>
          <w:tab w:val="clear" w:pos="426"/>
        </w:tabs>
        <w:rPr>
          <w:highlight w:val="none"/>
        </w:rPr>
      </w:pPr>
      <w:r>
        <w:rPr>
          <w:rFonts w:hint="eastAsia"/>
          <w:highlight w:val="none"/>
        </w:rPr>
        <w:t>采购代理服务取费说明</w:t>
      </w:r>
      <w:bookmarkEnd w:id="338"/>
      <w:bookmarkEnd w:id="339"/>
    </w:p>
    <w:p>
      <w:pPr>
        <w:tabs>
          <w:tab w:val="clear" w:pos="426"/>
        </w:tabs>
        <w:spacing w:line="300" w:lineRule="auto"/>
        <w:ind w:firstLine="420" w:firstLineChars="200"/>
        <w:rPr>
          <w:szCs w:val="21"/>
          <w:highlight w:val="none"/>
        </w:rPr>
      </w:pPr>
    </w:p>
    <w:p>
      <w:pPr>
        <w:tabs>
          <w:tab w:val="clear" w:pos="426"/>
        </w:tabs>
        <w:spacing w:line="300" w:lineRule="auto"/>
        <w:ind w:firstLine="420" w:firstLineChars="200"/>
        <w:rPr>
          <w:szCs w:val="21"/>
          <w:highlight w:val="none"/>
        </w:rPr>
      </w:pPr>
      <w:r>
        <w:rPr>
          <w:rFonts w:hint="eastAsia"/>
          <w:szCs w:val="21"/>
          <w:highlight w:val="none"/>
        </w:rPr>
        <w:t>（1）计算基数：成交金额。计算方法：采购代理机构以谈判文件规定的计算基数，依据《深圳市财政委员会关于规范深圳市社会采购代理机构管理有关事项的补充通知》（深财购〔</w:t>
      </w:r>
      <w:r>
        <w:rPr>
          <w:szCs w:val="21"/>
          <w:highlight w:val="none"/>
        </w:rPr>
        <w:t>2018〕27号）规定的采购代理服务费收费办法，按差额定率累进法计算</w:t>
      </w:r>
      <w:r>
        <w:rPr>
          <w:rFonts w:hint="eastAsia"/>
          <w:szCs w:val="21"/>
          <w:highlight w:val="none"/>
        </w:rPr>
        <w:t>。</w:t>
      </w:r>
    </w:p>
    <w:p>
      <w:pPr>
        <w:tabs>
          <w:tab w:val="clear" w:pos="426"/>
        </w:tabs>
        <w:spacing w:line="300" w:lineRule="auto"/>
        <w:ind w:firstLine="420" w:firstLineChars="200"/>
        <w:rPr>
          <w:szCs w:val="21"/>
          <w:highlight w:val="none"/>
        </w:rPr>
      </w:pPr>
      <w:r>
        <w:rPr>
          <w:rFonts w:hint="eastAsia"/>
          <w:szCs w:val="21"/>
          <w:highlight w:val="none"/>
        </w:rPr>
        <w:t>（2）支付人：</w:t>
      </w:r>
      <w:r>
        <w:rPr>
          <w:szCs w:val="21"/>
          <w:highlight w:val="none"/>
        </w:rPr>
        <w:t>■</w:t>
      </w:r>
      <w:r>
        <w:rPr>
          <w:rFonts w:hint="eastAsia"/>
          <w:szCs w:val="21"/>
          <w:highlight w:val="none"/>
        </w:rPr>
        <w:t>成交人。</w:t>
      </w:r>
    </w:p>
    <w:p>
      <w:pPr>
        <w:tabs>
          <w:tab w:val="clear" w:pos="426"/>
        </w:tabs>
        <w:spacing w:line="300" w:lineRule="auto"/>
        <w:ind w:firstLine="420" w:firstLineChars="200"/>
        <w:rPr>
          <w:szCs w:val="21"/>
          <w:highlight w:val="none"/>
        </w:rPr>
      </w:pPr>
      <w:r>
        <w:rPr>
          <w:rFonts w:hint="eastAsia"/>
          <w:szCs w:val="21"/>
          <w:highlight w:val="none"/>
        </w:rPr>
        <w:t>（3</w:t>
      </w:r>
      <w:r>
        <w:rPr>
          <w:szCs w:val="21"/>
          <w:highlight w:val="none"/>
        </w:rPr>
        <w:t>）支付方式：银行转账。</w:t>
      </w:r>
    </w:p>
    <w:p>
      <w:pPr>
        <w:tabs>
          <w:tab w:val="clear" w:pos="426"/>
        </w:tabs>
        <w:spacing w:line="300" w:lineRule="auto"/>
        <w:ind w:firstLine="420" w:firstLineChars="200"/>
        <w:rPr>
          <w:szCs w:val="21"/>
          <w:highlight w:val="none"/>
        </w:rPr>
      </w:pPr>
      <w:r>
        <w:rPr>
          <w:rFonts w:hint="eastAsia"/>
          <w:szCs w:val="21"/>
          <w:highlight w:val="none"/>
        </w:rPr>
        <w:t>（4</w:t>
      </w:r>
      <w:r>
        <w:rPr>
          <w:szCs w:val="21"/>
          <w:highlight w:val="none"/>
        </w:rPr>
        <w:t>）收款账户信息如下：</w:t>
      </w:r>
    </w:p>
    <w:p>
      <w:pPr>
        <w:tabs>
          <w:tab w:val="clear" w:pos="426"/>
        </w:tabs>
        <w:spacing w:line="300" w:lineRule="auto"/>
        <w:ind w:firstLine="420" w:firstLineChars="200"/>
        <w:rPr>
          <w:szCs w:val="21"/>
          <w:highlight w:val="none"/>
        </w:rPr>
      </w:pPr>
      <w:r>
        <w:rPr>
          <w:rFonts w:hint="eastAsia"/>
          <w:szCs w:val="21"/>
          <w:highlight w:val="none"/>
        </w:rPr>
        <w:t>户名：深圳市深水水务咨询有限公司</w:t>
      </w:r>
    </w:p>
    <w:p>
      <w:pPr>
        <w:tabs>
          <w:tab w:val="clear" w:pos="426"/>
        </w:tabs>
        <w:spacing w:line="300" w:lineRule="auto"/>
        <w:ind w:firstLine="420" w:firstLineChars="200"/>
        <w:rPr>
          <w:szCs w:val="21"/>
          <w:highlight w:val="none"/>
        </w:rPr>
      </w:pPr>
      <w:r>
        <w:rPr>
          <w:rFonts w:hint="eastAsia"/>
          <w:szCs w:val="21"/>
          <w:highlight w:val="none"/>
        </w:rPr>
        <w:t>账号：</w:t>
      </w:r>
      <w:r>
        <w:rPr>
          <w:szCs w:val="21"/>
          <w:highlight w:val="none"/>
        </w:rPr>
        <w:t>443899991010003343618</w:t>
      </w:r>
    </w:p>
    <w:p>
      <w:pPr>
        <w:tabs>
          <w:tab w:val="clear" w:pos="426"/>
        </w:tabs>
        <w:spacing w:line="300" w:lineRule="auto"/>
        <w:ind w:firstLine="420" w:firstLineChars="200"/>
        <w:rPr>
          <w:szCs w:val="21"/>
          <w:highlight w:val="none"/>
        </w:rPr>
      </w:pPr>
      <w:r>
        <w:rPr>
          <w:rFonts w:hint="eastAsia"/>
          <w:szCs w:val="21"/>
          <w:highlight w:val="none"/>
        </w:rPr>
        <w:t>开户行：交通银行深圳金叶支行</w:t>
      </w:r>
    </w:p>
    <w:p>
      <w:pPr>
        <w:tabs>
          <w:tab w:val="clear" w:pos="426"/>
        </w:tabs>
        <w:spacing w:line="300" w:lineRule="auto"/>
        <w:ind w:firstLine="420" w:firstLineChars="200"/>
        <w:rPr>
          <w:szCs w:val="21"/>
          <w:highlight w:val="none"/>
        </w:rPr>
      </w:pPr>
      <w:r>
        <w:rPr>
          <w:rFonts w:hint="eastAsia"/>
          <w:szCs w:val="21"/>
          <w:highlight w:val="none"/>
        </w:rPr>
        <w:t>（5）发票联系人：</w:t>
      </w:r>
      <w:r>
        <w:rPr>
          <w:rFonts w:hint="eastAsia"/>
          <w:szCs w:val="21"/>
          <w:highlight w:val="none"/>
          <w:lang w:val="en-US" w:eastAsia="zh-CN"/>
        </w:rPr>
        <w:t>刘工</w:t>
      </w:r>
      <w:r>
        <w:rPr>
          <w:szCs w:val="21"/>
          <w:highlight w:val="none"/>
        </w:rPr>
        <w:t>0755-25163491</w:t>
      </w:r>
    </w:p>
    <w:p>
      <w:pPr>
        <w:tabs>
          <w:tab w:val="clear" w:pos="426"/>
        </w:tabs>
        <w:spacing w:line="300" w:lineRule="auto"/>
        <w:ind w:firstLine="420" w:firstLineChars="200"/>
        <w:rPr>
          <w:szCs w:val="21"/>
          <w:highlight w:val="none"/>
        </w:rPr>
      </w:pPr>
    </w:p>
    <w:p>
      <w:pPr>
        <w:tabs>
          <w:tab w:val="clear" w:pos="426"/>
        </w:tabs>
        <w:spacing w:line="300" w:lineRule="auto"/>
        <w:jc w:val="center"/>
        <w:rPr>
          <w:sz w:val="22"/>
          <w:highlight w:val="none"/>
        </w:rPr>
      </w:pPr>
      <w:r>
        <w:rPr>
          <w:rFonts w:hint="eastAsia"/>
          <w:szCs w:val="21"/>
          <w:highlight w:val="none"/>
        </w:rPr>
        <w:t>采购代理服务收费标准</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6"/>
        <w:gridCol w:w="1845"/>
        <w:gridCol w:w="1845"/>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2986" w:type="dxa"/>
            <w:vAlign w:val="center"/>
          </w:tcPr>
          <w:p>
            <w:pPr>
              <w:tabs>
                <w:tab w:val="clear" w:pos="426"/>
              </w:tabs>
              <w:spacing w:line="240" w:lineRule="auto"/>
              <w:jc w:val="right"/>
              <w:rPr>
                <w:sz w:val="22"/>
                <w:highlight w:val="none"/>
              </w:rPr>
            </w:pPr>
            <w:r>
              <w:rPr>
                <w:rFonts w:hint="eastAsia"/>
                <w:sz w:val="22"/>
                <w:highlight w:val="none"/>
              </w:rPr>
              <w:t>项目类型</w:t>
            </w:r>
          </w:p>
          <w:p>
            <w:pPr>
              <w:tabs>
                <w:tab w:val="clear" w:pos="426"/>
              </w:tabs>
              <w:spacing w:line="240" w:lineRule="auto"/>
              <w:jc w:val="center"/>
              <w:rPr>
                <w:sz w:val="22"/>
                <w:highlight w:val="none"/>
              </w:rPr>
            </w:pPr>
            <w:r>
              <w:rPr>
                <w:rFonts w:hint="eastAsia"/>
                <w:sz w:val="22"/>
                <w:highlight w:val="none"/>
              </w:rPr>
              <w:t>费率</w:t>
            </w:r>
          </w:p>
          <w:p>
            <w:pPr>
              <w:tabs>
                <w:tab w:val="clear" w:pos="426"/>
              </w:tabs>
              <w:spacing w:line="240" w:lineRule="auto"/>
              <w:rPr>
                <w:sz w:val="22"/>
                <w:highlight w:val="none"/>
              </w:rPr>
            </w:pPr>
            <w:r>
              <w:rPr>
                <w:rFonts w:hint="eastAsia"/>
                <w:sz w:val="22"/>
                <w:highlight w:val="none"/>
              </w:rPr>
              <w:t>成交金额</w:t>
            </w:r>
          </w:p>
        </w:tc>
        <w:tc>
          <w:tcPr>
            <w:tcW w:w="1845" w:type="dxa"/>
            <w:vAlign w:val="center"/>
          </w:tcPr>
          <w:p>
            <w:pPr>
              <w:tabs>
                <w:tab w:val="clear" w:pos="426"/>
              </w:tabs>
              <w:spacing w:line="240" w:lineRule="auto"/>
              <w:jc w:val="center"/>
              <w:rPr>
                <w:sz w:val="22"/>
                <w:highlight w:val="none"/>
              </w:rPr>
            </w:pPr>
            <w:r>
              <w:rPr>
                <w:rFonts w:hint="eastAsia"/>
                <w:sz w:val="22"/>
                <w:highlight w:val="none"/>
              </w:rPr>
              <w:t>货物采购</w:t>
            </w:r>
          </w:p>
        </w:tc>
        <w:tc>
          <w:tcPr>
            <w:tcW w:w="1845" w:type="dxa"/>
            <w:vAlign w:val="center"/>
          </w:tcPr>
          <w:p>
            <w:pPr>
              <w:tabs>
                <w:tab w:val="clear" w:pos="426"/>
              </w:tabs>
              <w:spacing w:line="240" w:lineRule="auto"/>
              <w:jc w:val="center"/>
              <w:rPr>
                <w:sz w:val="22"/>
                <w:highlight w:val="none"/>
              </w:rPr>
            </w:pPr>
            <w:r>
              <w:rPr>
                <w:rFonts w:hint="eastAsia"/>
                <w:sz w:val="22"/>
                <w:highlight w:val="none"/>
              </w:rPr>
              <w:t>服务采购</w:t>
            </w:r>
          </w:p>
        </w:tc>
        <w:tc>
          <w:tcPr>
            <w:tcW w:w="1846" w:type="dxa"/>
            <w:vAlign w:val="center"/>
          </w:tcPr>
          <w:p>
            <w:pPr>
              <w:tabs>
                <w:tab w:val="clear" w:pos="426"/>
              </w:tabs>
              <w:spacing w:line="240" w:lineRule="auto"/>
              <w:jc w:val="center"/>
              <w:rPr>
                <w:sz w:val="22"/>
                <w:highlight w:val="none"/>
              </w:rPr>
            </w:pPr>
            <w:r>
              <w:rPr>
                <w:rFonts w:hint="eastAsia"/>
                <w:sz w:val="22"/>
                <w:highlight w:val="none"/>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6" w:type="dxa"/>
            <w:vAlign w:val="center"/>
          </w:tcPr>
          <w:p>
            <w:pPr>
              <w:tabs>
                <w:tab w:val="clear" w:pos="426"/>
              </w:tabs>
              <w:spacing w:line="240" w:lineRule="auto"/>
              <w:rPr>
                <w:color w:val="000000"/>
                <w:sz w:val="22"/>
                <w:szCs w:val="22"/>
                <w:highlight w:val="none"/>
              </w:rPr>
            </w:pPr>
            <w:r>
              <w:rPr>
                <w:rFonts w:hint="eastAsia"/>
                <w:color w:val="000000"/>
                <w:sz w:val="22"/>
                <w:szCs w:val="22"/>
                <w:highlight w:val="none"/>
              </w:rPr>
              <w:t>100万元以下</w:t>
            </w:r>
          </w:p>
        </w:tc>
        <w:tc>
          <w:tcPr>
            <w:tcW w:w="1845" w:type="dxa"/>
            <w:vAlign w:val="center"/>
          </w:tcPr>
          <w:p>
            <w:pPr>
              <w:tabs>
                <w:tab w:val="clear" w:pos="426"/>
              </w:tabs>
              <w:spacing w:line="240" w:lineRule="auto"/>
              <w:jc w:val="center"/>
              <w:rPr>
                <w:color w:val="000000"/>
                <w:sz w:val="22"/>
                <w:szCs w:val="22"/>
                <w:highlight w:val="none"/>
              </w:rPr>
            </w:pPr>
            <w:r>
              <w:rPr>
                <w:rFonts w:hint="eastAsia"/>
                <w:color w:val="000000"/>
                <w:sz w:val="22"/>
                <w:szCs w:val="22"/>
                <w:highlight w:val="none"/>
              </w:rPr>
              <w:t>1.500%</w:t>
            </w:r>
          </w:p>
        </w:tc>
        <w:tc>
          <w:tcPr>
            <w:tcW w:w="1845" w:type="dxa"/>
            <w:vAlign w:val="center"/>
          </w:tcPr>
          <w:p>
            <w:pPr>
              <w:tabs>
                <w:tab w:val="clear" w:pos="426"/>
              </w:tabs>
              <w:spacing w:line="240" w:lineRule="auto"/>
              <w:jc w:val="center"/>
              <w:rPr>
                <w:color w:val="000000"/>
                <w:sz w:val="22"/>
                <w:szCs w:val="22"/>
                <w:highlight w:val="none"/>
              </w:rPr>
            </w:pPr>
            <w:r>
              <w:rPr>
                <w:rFonts w:hint="eastAsia"/>
                <w:color w:val="000000"/>
                <w:sz w:val="22"/>
                <w:szCs w:val="22"/>
                <w:highlight w:val="none"/>
              </w:rPr>
              <w:t>1.500%</w:t>
            </w:r>
          </w:p>
        </w:tc>
        <w:tc>
          <w:tcPr>
            <w:tcW w:w="1846" w:type="dxa"/>
            <w:vAlign w:val="center"/>
          </w:tcPr>
          <w:p>
            <w:pPr>
              <w:tabs>
                <w:tab w:val="clear" w:pos="426"/>
              </w:tabs>
              <w:spacing w:line="240" w:lineRule="auto"/>
              <w:jc w:val="center"/>
              <w:rPr>
                <w:color w:val="000000"/>
                <w:sz w:val="22"/>
                <w:szCs w:val="22"/>
                <w:highlight w:val="none"/>
              </w:rPr>
            </w:pPr>
            <w:r>
              <w:rPr>
                <w:rFonts w:hint="eastAsia"/>
                <w:color w:val="000000"/>
                <w:sz w:val="22"/>
                <w:szCs w:val="22"/>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6" w:type="dxa"/>
            <w:vAlign w:val="center"/>
          </w:tcPr>
          <w:p>
            <w:pPr>
              <w:tabs>
                <w:tab w:val="clear" w:pos="426"/>
              </w:tabs>
              <w:spacing w:line="240" w:lineRule="auto"/>
              <w:rPr>
                <w:color w:val="000000"/>
                <w:sz w:val="22"/>
                <w:szCs w:val="22"/>
                <w:highlight w:val="none"/>
              </w:rPr>
            </w:pPr>
            <w:r>
              <w:rPr>
                <w:rFonts w:hint="eastAsia"/>
                <w:color w:val="000000"/>
                <w:sz w:val="22"/>
                <w:szCs w:val="22"/>
                <w:highlight w:val="none"/>
              </w:rPr>
              <w:t>100万元（含）-500万元</w:t>
            </w:r>
          </w:p>
        </w:tc>
        <w:tc>
          <w:tcPr>
            <w:tcW w:w="1845" w:type="dxa"/>
            <w:vAlign w:val="center"/>
          </w:tcPr>
          <w:p>
            <w:pPr>
              <w:tabs>
                <w:tab w:val="clear" w:pos="426"/>
              </w:tabs>
              <w:spacing w:line="240" w:lineRule="auto"/>
              <w:jc w:val="center"/>
              <w:rPr>
                <w:color w:val="000000"/>
                <w:sz w:val="22"/>
                <w:szCs w:val="22"/>
                <w:highlight w:val="none"/>
              </w:rPr>
            </w:pPr>
            <w:r>
              <w:rPr>
                <w:rFonts w:hint="eastAsia"/>
                <w:color w:val="000000"/>
                <w:sz w:val="22"/>
                <w:szCs w:val="22"/>
                <w:highlight w:val="none"/>
              </w:rPr>
              <w:t>1.100%</w:t>
            </w:r>
          </w:p>
        </w:tc>
        <w:tc>
          <w:tcPr>
            <w:tcW w:w="1845" w:type="dxa"/>
            <w:vAlign w:val="center"/>
          </w:tcPr>
          <w:p>
            <w:pPr>
              <w:tabs>
                <w:tab w:val="clear" w:pos="426"/>
              </w:tabs>
              <w:spacing w:line="240" w:lineRule="auto"/>
              <w:jc w:val="center"/>
              <w:rPr>
                <w:color w:val="000000"/>
                <w:sz w:val="22"/>
                <w:szCs w:val="22"/>
                <w:highlight w:val="none"/>
              </w:rPr>
            </w:pPr>
            <w:r>
              <w:rPr>
                <w:rFonts w:hint="eastAsia"/>
                <w:color w:val="000000"/>
                <w:sz w:val="22"/>
                <w:szCs w:val="22"/>
                <w:highlight w:val="none"/>
              </w:rPr>
              <w:t>0.800%</w:t>
            </w:r>
          </w:p>
        </w:tc>
        <w:tc>
          <w:tcPr>
            <w:tcW w:w="1846" w:type="dxa"/>
            <w:vAlign w:val="center"/>
          </w:tcPr>
          <w:p>
            <w:pPr>
              <w:tabs>
                <w:tab w:val="clear" w:pos="426"/>
              </w:tabs>
              <w:spacing w:line="240" w:lineRule="auto"/>
              <w:jc w:val="center"/>
              <w:rPr>
                <w:color w:val="000000"/>
                <w:sz w:val="22"/>
                <w:szCs w:val="22"/>
                <w:highlight w:val="none"/>
              </w:rPr>
            </w:pPr>
            <w:r>
              <w:rPr>
                <w:rFonts w:hint="eastAsia"/>
                <w:color w:val="000000"/>
                <w:sz w:val="22"/>
                <w:szCs w:val="22"/>
                <w:highlight w:val="none"/>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6" w:type="dxa"/>
            <w:vAlign w:val="center"/>
          </w:tcPr>
          <w:p>
            <w:pPr>
              <w:tabs>
                <w:tab w:val="clear" w:pos="426"/>
              </w:tabs>
              <w:spacing w:line="240" w:lineRule="auto"/>
              <w:rPr>
                <w:color w:val="000000"/>
                <w:sz w:val="22"/>
                <w:szCs w:val="22"/>
                <w:highlight w:val="none"/>
              </w:rPr>
            </w:pPr>
            <w:r>
              <w:rPr>
                <w:rFonts w:hint="eastAsia"/>
                <w:color w:val="000000"/>
                <w:sz w:val="22"/>
                <w:szCs w:val="22"/>
                <w:highlight w:val="none"/>
              </w:rPr>
              <w:t>500万元（含）-1000万元</w:t>
            </w:r>
          </w:p>
        </w:tc>
        <w:tc>
          <w:tcPr>
            <w:tcW w:w="1845" w:type="dxa"/>
            <w:vAlign w:val="center"/>
          </w:tcPr>
          <w:p>
            <w:pPr>
              <w:tabs>
                <w:tab w:val="clear" w:pos="426"/>
              </w:tabs>
              <w:spacing w:line="240" w:lineRule="auto"/>
              <w:jc w:val="center"/>
              <w:rPr>
                <w:color w:val="000000"/>
                <w:sz w:val="22"/>
                <w:szCs w:val="22"/>
                <w:highlight w:val="none"/>
              </w:rPr>
            </w:pPr>
            <w:r>
              <w:rPr>
                <w:rFonts w:hint="eastAsia"/>
                <w:color w:val="000000"/>
                <w:sz w:val="22"/>
                <w:szCs w:val="22"/>
                <w:highlight w:val="none"/>
              </w:rPr>
              <w:t>0.800%</w:t>
            </w:r>
          </w:p>
        </w:tc>
        <w:tc>
          <w:tcPr>
            <w:tcW w:w="1845" w:type="dxa"/>
            <w:vAlign w:val="center"/>
          </w:tcPr>
          <w:p>
            <w:pPr>
              <w:tabs>
                <w:tab w:val="clear" w:pos="426"/>
              </w:tabs>
              <w:spacing w:line="240" w:lineRule="auto"/>
              <w:jc w:val="center"/>
              <w:rPr>
                <w:color w:val="000000"/>
                <w:sz w:val="22"/>
                <w:szCs w:val="22"/>
                <w:highlight w:val="none"/>
              </w:rPr>
            </w:pPr>
            <w:r>
              <w:rPr>
                <w:rFonts w:hint="eastAsia"/>
                <w:color w:val="000000"/>
                <w:sz w:val="22"/>
                <w:szCs w:val="22"/>
                <w:highlight w:val="none"/>
              </w:rPr>
              <w:t>0.450%</w:t>
            </w:r>
          </w:p>
        </w:tc>
        <w:tc>
          <w:tcPr>
            <w:tcW w:w="1846" w:type="dxa"/>
            <w:vAlign w:val="center"/>
          </w:tcPr>
          <w:p>
            <w:pPr>
              <w:tabs>
                <w:tab w:val="clear" w:pos="426"/>
              </w:tabs>
              <w:spacing w:line="240" w:lineRule="auto"/>
              <w:jc w:val="center"/>
              <w:rPr>
                <w:color w:val="000000"/>
                <w:sz w:val="22"/>
                <w:szCs w:val="22"/>
                <w:highlight w:val="none"/>
              </w:rPr>
            </w:pPr>
            <w:r>
              <w:rPr>
                <w:rFonts w:hint="eastAsia"/>
                <w:color w:val="000000"/>
                <w:sz w:val="22"/>
                <w:szCs w:val="22"/>
                <w:highlight w:val="none"/>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6" w:type="dxa"/>
            <w:vAlign w:val="center"/>
          </w:tcPr>
          <w:p>
            <w:pPr>
              <w:tabs>
                <w:tab w:val="clear" w:pos="426"/>
              </w:tabs>
              <w:spacing w:line="240" w:lineRule="auto"/>
              <w:rPr>
                <w:color w:val="000000"/>
                <w:sz w:val="22"/>
                <w:szCs w:val="22"/>
                <w:highlight w:val="none"/>
              </w:rPr>
            </w:pPr>
            <w:r>
              <w:rPr>
                <w:rFonts w:hint="eastAsia"/>
                <w:color w:val="000000"/>
                <w:sz w:val="22"/>
                <w:szCs w:val="22"/>
                <w:highlight w:val="none"/>
              </w:rPr>
              <w:t>1000万元（含）-5000万元</w:t>
            </w:r>
          </w:p>
        </w:tc>
        <w:tc>
          <w:tcPr>
            <w:tcW w:w="1845" w:type="dxa"/>
            <w:vAlign w:val="center"/>
          </w:tcPr>
          <w:p>
            <w:pPr>
              <w:tabs>
                <w:tab w:val="clear" w:pos="426"/>
              </w:tabs>
              <w:spacing w:line="240" w:lineRule="auto"/>
              <w:jc w:val="center"/>
              <w:rPr>
                <w:color w:val="000000"/>
                <w:sz w:val="22"/>
                <w:szCs w:val="22"/>
                <w:highlight w:val="none"/>
              </w:rPr>
            </w:pPr>
            <w:r>
              <w:rPr>
                <w:rFonts w:hint="eastAsia"/>
                <w:color w:val="000000"/>
                <w:sz w:val="22"/>
                <w:szCs w:val="22"/>
                <w:highlight w:val="none"/>
              </w:rPr>
              <w:t>0.500%</w:t>
            </w:r>
          </w:p>
        </w:tc>
        <w:tc>
          <w:tcPr>
            <w:tcW w:w="1845" w:type="dxa"/>
            <w:vAlign w:val="center"/>
          </w:tcPr>
          <w:p>
            <w:pPr>
              <w:tabs>
                <w:tab w:val="clear" w:pos="426"/>
              </w:tabs>
              <w:spacing w:line="240" w:lineRule="auto"/>
              <w:jc w:val="center"/>
              <w:rPr>
                <w:color w:val="000000"/>
                <w:sz w:val="22"/>
                <w:szCs w:val="22"/>
                <w:highlight w:val="none"/>
              </w:rPr>
            </w:pPr>
            <w:r>
              <w:rPr>
                <w:rFonts w:hint="eastAsia"/>
                <w:color w:val="000000"/>
                <w:sz w:val="22"/>
                <w:szCs w:val="22"/>
                <w:highlight w:val="none"/>
              </w:rPr>
              <w:t>0.250%</w:t>
            </w:r>
          </w:p>
        </w:tc>
        <w:tc>
          <w:tcPr>
            <w:tcW w:w="1846" w:type="dxa"/>
            <w:vAlign w:val="center"/>
          </w:tcPr>
          <w:p>
            <w:pPr>
              <w:tabs>
                <w:tab w:val="clear" w:pos="426"/>
              </w:tabs>
              <w:spacing w:line="240" w:lineRule="auto"/>
              <w:jc w:val="center"/>
              <w:rPr>
                <w:color w:val="000000"/>
                <w:sz w:val="22"/>
                <w:szCs w:val="22"/>
                <w:highlight w:val="none"/>
              </w:rPr>
            </w:pPr>
            <w:r>
              <w:rPr>
                <w:rFonts w:hint="eastAsia"/>
                <w:color w:val="000000"/>
                <w:sz w:val="22"/>
                <w:szCs w:val="22"/>
                <w:highlight w:val="none"/>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6" w:type="dxa"/>
            <w:vAlign w:val="center"/>
          </w:tcPr>
          <w:p>
            <w:pPr>
              <w:tabs>
                <w:tab w:val="clear" w:pos="426"/>
              </w:tabs>
              <w:spacing w:line="240" w:lineRule="auto"/>
              <w:rPr>
                <w:color w:val="000000"/>
                <w:sz w:val="22"/>
                <w:szCs w:val="22"/>
                <w:highlight w:val="none"/>
              </w:rPr>
            </w:pPr>
            <w:r>
              <w:rPr>
                <w:rFonts w:hint="eastAsia"/>
                <w:color w:val="000000"/>
                <w:sz w:val="22"/>
                <w:szCs w:val="22"/>
                <w:highlight w:val="none"/>
              </w:rPr>
              <w:t>5000万元（含）-1亿元</w:t>
            </w:r>
          </w:p>
        </w:tc>
        <w:tc>
          <w:tcPr>
            <w:tcW w:w="1845" w:type="dxa"/>
            <w:vAlign w:val="center"/>
          </w:tcPr>
          <w:p>
            <w:pPr>
              <w:tabs>
                <w:tab w:val="clear" w:pos="426"/>
              </w:tabs>
              <w:spacing w:line="240" w:lineRule="auto"/>
              <w:jc w:val="center"/>
              <w:rPr>
                <w:sz w:val="22"/>
                <w:szCs w:val="22"/>
                <w:highlight w:val="none"/>
              </w:rPr>
            </w:pPr>
            <w:r>
              <w:rPr>
                <w:rFonts w:hint="eastAsia"/>
                <w:sz w:val="22"/>
                <w:szCs w:val="22"/>
                <w:highlight w:val="none"/>
              </w:rPr>
              <w:t>0.250%</w:t>
            </w:r>
          </w:p>
        </w:tc>
        <w:tc>
          <w:tcPr>
            <w:tcW w:w="1845" w:type="dxa"/>
            <w:vAlign w:val="center"/>
          </w:tcPr>
          <w:p>
            <w:pPr>
              <w:tabs>
                <w:tab w:val="clear" w:pos="426"/>
              </w:tabs>
              <w:spacing w:line="240" w:lineRule="auto"/>
              <w:jc w:val="center"/>
              <w:rPr>
                <w:sz w:val="22"/>
                <w:szCs w:val="22"/>
                <w:highlight w:val="none"/>
              </w:rPr>
            </w:pPr>
            <w:r>
              <w:rPr>
                <w:rFonts w:hint="eastAsia"/>
                <w:sz w:val="22"/>
                <w:szCs w:val="22"/>
                <w:highlight w:val="none"/>
              </w:rPr>
              <w:t>0.100%</w:t>
            </w:r>
          </w:p>
        </w:tc>
        <w:tc>
          <w:tcPr>
            <w:tcW w:w="1846" w:type="dxa"/>
            <w:vAlign w:val="center"/>
          </w:tcPr>
          <w:p>
            <w:pPr>
              <w:tabs>
                <w:tab w:val="clear" w:pos="426"/>
              </w:tabs>
              <w:spacing w:line="240" w:lineRule="auto"/>
              <w:jc w:val="center"/>
              <w:rPr>
                <w:sz w:val="22"/>
                <w:szCs w:val="22"/>
                <w:highlight w:val="none"/>
              </w:rPr>
            </w:pPr>
            <w:r>
              <w:rPr>
                <w:rFonts w:hint="eastAsia"/>
                <w:sz w:val="22"/>
                <w:szCs w:val="22"/>
                <w:highlight w:val="none"/>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6" w:type="dxa"/>
            <w:vAlign w:val="center"/>
          </w:tcPr>
          <w:p>
            <w:pPr>
              <w:tabs>
                <w:tab w:val="clear" w:pos="426"/>
              </w:tabs>
              <w:spacing w:line="240" w:lineRule="auto"/>
              <w:rPr>
                <w:color w:val="000000"/>
                <w:sz w:val="22"/>
                <w:szCs w:val="22"/>
                <w:highlight w:val="none"/>
              </w:rPr>
            </w:pPr>
            <w:r>
              <w:rPr>
                <w:rFonts w:hint="eastAsia"/>
                <w:color w:val="000000"/>
                <w:sz w:val="22"/>
                <w:szCs w:val="22"/>
                <w:highlight w:val="none"/>
              </w:rPr>
              <w:t>1亿元（含）-5亿元</w:t>
            </w:r>
          </w:p>
        </w:tc>
        <w:tc>
          <w:tcPr>
            <w:tcW w:w="1845" w:type="dxa"/>
            <w:vAlign w:val="center"/>
          </w:tcPr>
          <w:p>
            <w:pPr>
              <w:tabs>
                <w:tab w:val="clear" w:pos="426"/>
              </w:tabs>
              <w:spacing w:line="240" w:lineRule="auto"/>
              <w:jc w:val="center"/>
              <w:rPr>
                <w:sz w:val="22"/>
                <w:szCs w:val="22"/>
                <w:highlight w:val="none"/>
              </w:rPr>
            </w:pPr>
            <w:r>
              <w:rPr>
                <w:rFonts w:hint="eastAsia"/>
                <w:sz w:val="22"/>
                <w:szCs w:val="22"/>
                <w:highlight w:val="none"/>
              </w:rPr>
              <w:t>0.050%</w:t>
            </w:r>
          </w:p>
        </w:tc>
        <w:tc>
          <w:tcPr>
            <w:tcW w:w="1845" w:type="dxa"/>
            <w:vAlign w:val="center"/>
          </w:tcPr>
          <w:p>
            <w:pPr>
              <w:tabs>
                <w:tab w:val="clear" w:pos="426"/>
              </w:tabs>
              <w:spacing w:line="240" w:lineRule="auto"/>
              <w:jc w:val="center"/>
              <w:rPr>
                <w:sz w:val="22"/>
                <w:szCs w:val="22"/>
                <w:highlight w:val="none"/>
              </w:rPr>
            </w:pPr>
            <w:r>
              <w:rPr>
                <w:rFonts w:hint="eastAsia"/>
                <w:sz w:val="22"/>
                <w:szCs w:val="22"/>
                <w:highlight w:val="none"/>
              </w:rPr>
              <w:t>0.050%</w:t>
            </w:r>
          </w:p>
        </w:tc>
        <w:tc>
          <w:tcPr>
            <w:tcW w:w="1846" w:type="dxa"/>
            <w:vAlign w:val="center"/>
          </w:tcPr>
          <w:p>
            <w:pPr>
              <w:tabs>
                <w:tab w:val="clear" w:pos="426"/>
              </w:tabs>
              <w:spacing w:line="240" w:lineRule="auto"/>
              <w:jc w:val="center"/>
              <w:rPr>
                <w:sz w:val="22"/>
                <w:szCs w:val="22"/>
                <w:highlight w:val="none"/>
              </w:rPr>
            </w:pPr>
            <w:r>
              <w:rPr>
                <w:rFonts w:hint="eastAsia"/>
                <w:sz w:val="22"/>
                <w:szCs w:val="22"/>
                <w:highlight w:val="none"/>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6" w:type="dxa"/>
            <w:vAlign w:val="center"/>
          </w:tcPr>
          <w:p>
            <w:pPr>
              <w:tabs>
                <w:tab w:val="clear" w:pos="426"/>
              </w:tabs>
              <w:spacing w:line="240" w:lineRule="auto"/>
              <w:rPr>
                <w:color w:val="000000"/>
                <w:sz w:val="22"/>
                <w:szCs w:val="22"/>
                <w:highlight w:val="none"/>
              </w:rPr>
            </w:pPr>
            <w:r>
              <w:rPr>
                <w:rFonts w:hint="eastAsia"/>
                <w:color w:val="000000"/>
                <w:sz w:val="22"/>
                <w:szCs w:val="22"/>
                <w:highlight w:val="none"/>
              </w:rPr>
              <w:t>5亿元（含）-10亿元</w:t>
            </w:r>
          </w:p>
        </w:tc>
        <w:tc>
          <w:tcPr>
            <w:tcW w:w="1845" w:type="dxa"/>
            <w:vAlign w:val="center"/>
          </w:tcPr>
          <w:p>
            <w:pPr>
              <w:tabs>
                <w:tab w:val="clear" w:pos="426"/>
              </w:tabs>
              <w:spacing w:line="240" w:lineRule="auto"/>
              <w:jc w:val="center"/>
              <w:rPr>
                <w:sz w:val="22"/>
                <w:szCs w:val="22"/>
                <w:highlight w:val="none"/>
              </w:rPr>
            </w:pPr>
            <w:r>
              <w:rPr>
                <w:rFonts w:hint="eastAsia"/>
                <w:sz w:val="22"/>
                <w:szCs w:val="22"/>
                <w:highlight w:val="none"/>
              </w:rPr>
              <w:t>0.035%</w:t>
            </w:r>
          </w:p>
        </w:tc>
        <w:tc>
          <w:tcPr>
            <w:tcW w:w="1845" w:type="dxa"/>
            <w:vAlign w:val="center"/>
          </w:tcPr>
          <w:p>
            <w:pPr>
              <w:tabs>
                <w:tab w:val="clear" w:pos="426"/>
              </w:tabs>
              <w:spacing w:line="240" w:lineRule="auto"/>
              <w:jc w:val="center"/>
              <w:rPr>
                <w:sz w:val="22"/>
                <w:szCs w:val="22"/>
                <w:highlight w:val="none"/>
              </w:rPr>
            </w:pPr>
            <w:r>
              <w:rPr>
                <w:rFonts w:hint="eastAsia"/>
                <w:sz w:val="22"/>
                <w:szCs w:val="22"/>
                <w:highlight w:val="none"/>
              </w:rPr>
              <w:t>0.035%</w:t>
            </w:r>
          </w:p>
        </w:tc>
        <w:tc>
          <w:tcPr>
            <w:tcW w:w="1846" w:type="dxa"/>
            <w:vAlign w:val="center"/>
          </w:tcPr>
          <w:p>
            <w:pPr>
              <w:tabs>
                <w:tab w:val="clear" w:pos="426"/>
              </w:tabs>
              <w:spacing w:line="240" w:lineRule="auto"/>
              <w:jc w:val="center"/>
              <w:rPr>
                <w:sz w:val="22"/>
                <w:szCs w:val="22"/>
                <w:highlight w:val="none"/>
              </w:rPr>
            </w:pPr>
            <w:r>
              <w:rPr>
                <w:rFonts w:hint="eastAsia"/>
                <w:sz w:val="22"/>
                <w:szCs w:val="22"/>
                <w:highlight w:val="none"/>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6" w:type="dxa"/>
            <w:vAlign w:val="center"/>
          </w:tcPr>
          <w:p>
            <w:pPr>
              <w:tabs>
                <w:tab w:val="clear" w:pos="426"/>
              </w:tabs>
              <w:spacing w:line="240" w:lineRule="auto"/>
              <w:rPr>
                <w:color w:val="000000"/>
                <w:sz w:val="22"/>
                <w:szCs w:val="22"/>
                <w:highlight w:val="none"/>
              </w:rPr>
            </w:pPr>
            <w:r>
              <w:rPr>
                <w:rFonts w:hint="eastAsia"/>
                <w:color w:val="000000"/>
                <w:sz w:val="22"/>
                <w:szCs w:val="22"/>
                <w:highlight w:val="none"/>
              </w:rPr>
              <w:t>10亿元（含）-50亿元</w:t>
            </w:r>
          </w:p>
        </w:tc>
        <w:tc>
          <w:tcPr>
            <w:tcW w:w="1845" w:type="dxa"/>
            <w:vAlign w:val="center"/>
          </w:tcPr>
          <w:p>
            <w:pPr>
              <w:tabs>
                <w:tab w:val="clear" w:pos="426"/>
              </w:tabs>
              <w:spacing w:line="240" w:lineRule="auto"/>
              <w:jc w:val="center"/>
              <w:rPr>
                <w:sz w:val="22"/>
                <w:szCs w:val="22"/>
                <w:highlight w:val="none"/>
              </w:rPr>
            </w:pPr>
            <w:r>
              <w:rPr>
                <w:rFonts w:hint="eastAsia"/>
                <w:sz w:val="22"/>
                <w:szCs w:val="22"/>
                <w:highlight w:val="none"/>
              </w:rPr>
              <w:t>0.008%</w:t>
            </w:r>
          </w:p>
        </w:tc>
        <w:tc>
          <w:tcPr>
            <w:tcW w:w="1845" w:type="dxa"/>
            <w:vAlign w:val="center"/>
          </w:tcPr>
          <w:p>
            <w:pPr>
              <w:tabs>
                <w:tab w:val="clear" w:pos="426"/>
              </w:tabs>
              <w:spacing w:line="240" w:lineRule="auto"/>
              <w:jc w:val="center"/>
              <w:rPr>
                <w:sz w:val="22"/>
                <w:szCs w:val="22"/>
                <w:highlight w:val="none"/>
              </w:rPr>
            </w:pPr>
            <w:r>
              <w:rPr>
                <w:rFonts w:hint="eastAsia"/>
                <w:sz w:val="22"/>
                <w:szCs w:val="22"/>
                <w:highlight w:val="none"/>
              </w:rPr>
              <w:t>0.008%</w:t>
            </w:r>
          </w:p>
        </w:tc>
        <w:tc>
          <w:tcPr>
            <w:tcW w:w="1846" w:type="dxa"/>
            <w:vAlign w:val="center"/>
          </w:tcPr>
          <w:p>
            <w:pPr>
              <w:tabs>
                <w:tab w:val="clear" w:pos="426"/>
              </w:tabs>
              <w:spacing w:line="240" w:lineRule="auto"/>
              <w:jc w:val="center"/>
              <w:rPr>
                <w:sz w:val="22"/>
                <w:szCs w:val="22"/>
                <w:highlight w:val="none"/>
              </w:rPr>
            </w:pPr>
            <w:r>
              <w:rPr>
                <w:rFonts w:hint="eastAsia"/>
                <w:sz w:val="22"/>
                <w:szCs w:val="22"/>
                <w:highlight w:val="none"/>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6" w:type="dxa"/>
            <w:vAlign w:val="center"/>
          </w:tcPr>
          <w:p>
            <w:pPr>
              <w:tabs>
                <w:tab w:val="clear" w:pos="426"/>
              </w:tabs>
              <w:spacing w:line="240" w:lineRule="auto"/>
              <w:rPr>
                <w:color w:val="000000"/>
                <w:sz w:val="22"/>
                <w:szCs w:val="22"/>
                <w:highlight w:val="none"/>
              </w:rPr>
            </w:pPr>
            <w:r>
              <w:rPr>
                <w:rFonts w:hint="eastAsia"/>
                <w:color w:val="000000"/>
                <w:sz w:val="22"/>
                <w:szCs w:val="22"/>
                <w:highlight w:val="none"/>
              </w:rPr>
              <w:t>50亿元（含）-100亿元</w:t>
            </w:r>
          </w:p>
        </w:tc>
        <w:tc>
          <w:tcPr>
            <w:tcW w:w="1845" w:type="dxa"/>
            <w:vAlign w:val="center"/>
          </w:tcPr>
          <w:p>
            <w:pPr>
              <w:tabs>
                <w:tab w:val="clear" w:pos="426"/>
              </w:tabs>
              <w:spacing w:line="240" w:lineRule="auto"/>
              <w:jc w:val="center"/>
              <w:rPr>
                <w:sz w:val="22"/>
                <w:szCs w:val="22"/>
                <w:highlight w:val="none"/>
              </w:rPr>
            </w:pPr>
            <w:r>
              <w:rPr>
                <w:rFonts w:hint="eastAsia"/>
                <w:sz w:val="22"/>
                <w:szCs w:val="22"/>
                <w:highlight w:val="none"/>
              </w:rPr>
              <w:t>0.006%</w:t>
            </w:r>
          </w:p>
        </w:tc>
        <w:tc>
          <w:tcPr>
            <w:tcW w:w="1845" w:type="dxa"/>
            <w:vAlign w:val="center"/>
          </w:tcPr>
          <w:p>
            <w:pPr>
              <w:tabs>
                <w:tab w:val="clear" w:pos="426"/>
              </w:tabs>
              <w:spacing w:line="240" w:lineRule="auto"/>
              <w:jc w:val="center"/>
              <w:rPr>
                <w:sz w:val="22"/>
                <w:szCs w:val="22"/>
                <w:highlight w:val="none"/>
              </w:rPr>
            </w:pPr>
            <w:r>
              <w:rPr>
                <w:rFonts w:hint="eastAsia"/>
                <w:sz w:val="22"/>
                <w:szCs w:val="22"/>
                <w:highlight w:val="none"/>
              </w:rPr>
              <w:t>0.006%</w:t>
            </w:r>
          </w:p>
        </w:tc>
        <w:tc>
          <w:tcPr>
            <w:tcW w:w="1846" w:type="dxa"/>
            <w:vAlign w:val="center"/>
          </w:tcPr>
          <w:p>
            <w:pPr>
              <w:tabs>
                <w:tab w:val="clear" w:pos="426"/>
              </w:tabs>
              <w:spacing w:line="240" w:lineRule="auto"/>
              <w:jc w:val="center"/>
              <w:rPr>
                <w:sz w:val="22"/>
                <w:szCs w:val="22"/>
                <w:highlight w:val="none"/>
              </w:rPr>
            </w:pPr>
            <w:r>
              <w:rPr>
                <w:rFonts w:hint="eastAsia"/>
                <w:sz w:val="22"/>
                <w:szCs w:val="22"/>
                <w:highlight w:val="none"/>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6" w:type="dxa"/>
            <w:vAlign w:val="center"/>
          </w:tcPr>
          <w:p>
            <w:pPr>
              <w:tabs>
                <w:tab w:val="clear" w:pos="426"/>
              </w:tabs>
              <w:spacing w:line="240" w:lineRule="auto"/>
              <w:rPr>
                <w:color w:val="000000"/>
                <w:sz w:val="22"/>
                <w:szCs w:val="22"/>
                <w:highlight w:val="none"/>
              </w:rPr>
            </w:pPr>
            <w:r>
              <w:rPr>
                <w:rFonts w:hint="eastAsia"/>
                <w:color w:val="000000"/>
                <w:sz w:val="22"/>
                <w:szCs w:val="22"/>
                <w:highlight w:val="none"/>
              </w:rPr>
              <w:t>100亿元（含）以上</w:t>
            </w:r>
          </w:p>
        </w:tc>
        <w:tc>
          <w:tcPr>
            <w:tcW w:w="1845" w:type="dxa"/>
            <w:vAlign w:val="center"/>
          </w:tcPr>
          <w:p>
            <w:pPr>
              <w:tabs>
                <w:tab w:val="clear" w:pos="426"/>
              </w:tabs>
              <w:spacing w:line="240" w:lineRule="auto"/>
              <w:jc w:val="center"/>
              <w:rPr>
                <w:sz w:val="22"/>
                <w:szCs w:val="22"/>
                <w:highlight w:val="none"/>
              </w:rPr>
            </w:pPr>
            <w:r>
              <w:rPr>
                <w:rFonts w:hint="eastAsia"/>
                <w:sz w:val="22"/>
                <w:szCs w:val="22"/>
                <w:highlight w:val="none"/>
              </w:rPr>
              <w:t>0.004%</w:t>
            </w:r>
          </w:p>
        </w:tc>
        <w:tc>
          <w:tcPr>
            <w:tcW w:w="1845" w:type="dxa"/>
            <w:vAlign w:val="center"/>
          </w:tcPr>
          <w:p>
            <w:pPr>
              <w:tabs>
                <w:tab w:val="clear" w:pos="426"/>
              </w:tabs>
              <w:spacing w:line="240" w:lineRule="auto"/>
              <w:jc w:val="center"/>
              <w:rPr>
                <w:sz w:val="22"/>
                <w:szCs w:val="22"/>
                <w:highlight w:val="none"/>
              </w:rPr>
            </w:pPr>
            <w:r>
              <w:rPr>
                <w:rFonts w:hint="eastAsia"/>
                <w:sz w:val="22"/>
                <w:szCs w:val="22"/>
                <w:highlight w:val="none"/>
              </w:rPr>
              <w:t>0.004%</w:t>
            </w:r>
          </w:p>
        </w:tc>
        <w:tc>
          <w:tcPr>
            <w:tcW w:w="1846" w:type="dxa"/>
            <w:vAlign w:val="center"/>
          </w:tcPr>
          <w:p>
            <w:pPr>
              <w:tabs>
                <w:tab w:val="clear" w:pos="426"/>
              </w:tabs>
              <w:spacing w:line="240" w:lineRule="auto"/>
              <w:jc w:val="center"/>
              <w:rPr>
                <w:sz w:val="22"/>
                <w:szCs w:val="22"/>
                <w:highlight w:val="none"/>
              </w:rPr>
            </w:pPr>
            <w:r>
              <w:rPr>
                <w:rFonts w:hint="eastAsia"/>
                <w:sz w:val="22"/>
                <w:szCs w:val="22"/>
                <w:highlight w:val="none"/>
              </w:rPr>
              <w:t>0.004%</w:t>
            </w:r>
          </w:p>
        </w:tc>
      </w:tr>
    </w:tbl>
    <w:p>
      <w:pPr>
        <w:tabs>
          <w:tab w:val="clear" w:pos="426"/>
        </w:tabs>
        <w:spacing w:line="300" w:lineRule="auto"/>
        <w:ind w:left="424" w:leftChars="202"/>
        <w:rPr>
          <w:sz w:val="22"/>
          <w:highlight w:val="none"/>
        </w:rPr>
      </w:pPr>
      <w:r>
        <w:rPr>
          <w:rFonts w:hint="eastAsia"/>
          <w:sz w:val="22"/>
          <w:highlight w:val="none"/>
        </w:rPr>
        <w:t>以某货物类项目谈判为例：</w:t>
      </w:r>
    </w:p>
    <w:p>
      <w:pPr>
        <w:tabs>
          <w:tab w:val="clear" w:pos="426"/>
        </w:tabs>
        <w:spacing w:line="300" w:lineRule="auto"/>
        <w:ind w:left="424" w:leftChars="202"/>
        <w:rPr>
          <w:sz w:val="22"/>
          <w:highlight w:val="none"/>
        </w:rPr>
      </w:pPr>
      <w:r>
        <w:rPr>
          <w:rFonts w:hint="eastAsia"/>
          <w:sz w:val="22"/>
          <w:highlight w:val="none"/>
        </w:rPr>
        <w:t>假设其计算基准价</w:t>
      </w:r>
      <w:r>
        <w:rPr>
          <w:sz w:val="22"/>
          <w:highlight w:val="none"/>
        </w:rPr>
        <w:t>为</w:t>
      </w:r>
      <w:r>
        <w:rPr>
          <w:rFonts w:hint="eastAsia"/>
          <w:sz w:val="22"/>
          <w:highlight w:val="none"/>
        </w:rPr>
        <w:t>5000万元</w:t>
      </w:r>
      <w:r>
        <w:rPr>
          <w:sz w:val="22"/>
          <w:highlight w:val="none"/>
        </w:rPr>
        <w:t>，则采购代理</w:t>
      </w:r>
      <w:r>
        <w:rPr>
          <w:rFonts w:hint="eastAsia"/>
          <w:sz w:val="22"/>
          <w:highlight w:val="none"/>
        </w:rPr>
        <w:t>服务</w:t>
      </w:r>
      <w:r>
        <w:rPr>
          <w:sz w:val="22"/>
          <w:highlight w:val="none"/>
        </w:rPr>
        <w:t>费计算为：</w:t>
      </w:r>
    </w:p>
    <w:p>
      <w:pPr>
        <w:tabs>
          <w:tab w:val="clear" w:pos="426"/>
        </w:tabs>
        <w:spacing w:line="300" w:lineRule="auto"/>
        <w:ind w:left="424" w:leftChars="202"/>
        <w:rPr>
          <w:sz w:val="22"/>
          <w:highlight w:val="none"/>
        </w:rPr>
      </w:pPr>
      <w:r>
        <w:rPr>
          <w:rFonts w:hint="eastAsia"/>
          <w:sz w:val="22"/>
          <w:highlight w:val="none"/>
        </w:rPr>
        <w:t>100万元×1.5%=1.5万元</w:t>
      </w:r>
    </w:p>
    <w:p>
      <w:pPr>
        <w:tabs>
          <w:tab w:val="clear" w:pos="426"/>
        </w:tabs>
        <w:spacing w:line="300" w:lineRule="auto"/>
        <w:ind w:left="424" w:leftChars="202"/>
        <w:rPr>
          <w:sz w:val="22"/>
          <w:highlight w:val="none"/>
        </w:rPr>
      </w:pPr>
      <w:r>
        <w:rPr>
          <w:rFonts w:hint="eastAsia"/>
          <w:sz w:val="22"/>
          <w:highlight w:val="none"/>
        </w:rPr>
        <w:t xml:space="preserve">（500-100）万元×1.1%=4.4万元 </w:t>
      </w:r>
    </w:p>
    <w:p>
      <w:pPr>
        <w:tabs>
          <w:tab w:val="clear" w:pos="426"/>
        </w:tabs>
        <w:spacing w:line="300" w:lineRule="auto"/>
        <w:ind w:left="424" w:leftChars="202"/>
        <w:rPr>
          <w:sz w:val="22"/>
          <w:highlight w:val="none"/>
        </w:rPr>
      </w:pPr>
      <w:r>
        <w:rPr>
          <w:rFonts w:hint="eastAsia"/>
          <w:sz w:val="22"/>
          <w:highlight w:val="none"/>
        </w:rPr>
        <w:t xml:space="preserve">（1000-500）万元×0.8%=4万元 </w:t>
      </w:r>
    </w:p>
    <w:p>
      <w:pPr>
        <w:tabs>
          <w:tab w:val="clear" w:pos="426"/>
        </w:tabs>
        <w:spacing w:line="300" w:lineRule="auto"/>
        <w:ind w:left="424" w:leftChars="202"/>
        <w:rPr>
          <w:sz w:val="22"/>
          <w:highlight w:val="none"/>
        </w:rPr>
      </w:pPr>
      <w:r>
        <w:rPr>
          <w:rFonts w:hint="eastAsia"/>
          <w:sz w:val="22"/>
          <w:highlight w:val="none"/>
        </w:rPr>
        <w:t>（5000-1000）万元×0.5%=20万元</w:t>
      </w:r>
    </w:p>
    <w:p>
      <w:pPr>
        <w:tabs>
          <w:tab w:val="clear" w:pos="426"/>
        </w:tabs>
        <w:spacing w:line="300" w:lineRule="auto"/>
        <w:ind w:left="424" w:leftChars="202"/>
        <w:rPr>
          <w:sz w:val="22"/>
          <w:highlight w:val="none"/>
        </w:rPr>
      </w:pPr>
      <w:r>
        <w:rPr>
          <w:rFonts w:hint="eastAsia"/>
          <w:sz w:val="22"/>
          <w:highlight w:val="none"/>
        </w:rPr>
        <w:t>因此，该项目采购代理服务费为：</w:t>
      </w:r>
      <w:r>
        <w:rPr>
          <w:sz w:val="22"/>
          <w:highlight w:val="none"/>
        </w:rPr>
        <w:t>1.5万元+4.4万元+4万元+20万元=29.9万元</w:t>
      </w:r>
    </w:p>
    <w:p>
      <w:pPr>
        <w:tabs>
          <w:tab w:val="clear" w:pos="426"/>
        </w:tabs>
        <w:spacing w:line="300" w:lineRule="auto"/>
        <w:ind w:left="424" w:leftChars="202"/>
        <w:rPr>
          <w:sz w:val="22"/>
          <w:highlight w:val="none"/>
        </w:rPr>
      </w:pPr>
    </w:p>
    <w:p>
      <w:pPr>
        <w:tabs>
          <w:tab w:val="clear" w:pos="426"/>
        </w:tabs>
        <w:spacing w:line="300" w:lineRule="auto"/>
        <w:ind w:left="424" w:leftChars="202"/>
        <w:rPr>
          <w:sz w:val="22"/>
          <w:highlight w:val="none"/>
        </w:rPr>
      </w:pPr>
    </w:p>
    <w:p>
      <w:pPr>
        <w:tabs>
          <w:tab w:val="clear" w:pos="426"/>
        </w:tabs>
        <w:spacing w:line="300" w:lineRule="auto"/>
        <w:ind w:left="424" w:leftChars="202"/>
        <w:rPr>
          <w:sz w:val="22"/>
          <w:highlight w:val="none"/>
        </w:rPr>
      </w:pPr>
    </w:p>
    <w:sectPr>
      <w:pgSz w:w="11906" w:h="16838"/>
      <w:pgMar w:top="1134" w:right="1134" w:bottom="1134" w:left="1418" w:header="851" w:footer="992" w:gutter="0"/>
      <w:cols w:space="425" w:num="1"/>
      <w:titlePg/>
      <w:docGrid w:linePitch="46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0020202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Helvetica">
    <w:altName w:val="Arial"/>
    <w:panose1 w:val="020B06040200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Style w:val="49"/>
      </w:rPr>
    </w:pPr>
    <w:r>
      <w:rPr>
        <w:rStyle w:val="49"/>
      </w:rPr>
      <w:fldChar w:fldCharType="begin"/>
    </w:r>
    <w:r>
      <w:rPr>
        <w:rStyle w:val="49"/>
      </w:rPr>
      <w:instrText xml:space="preserve">PAGE  </w:instrText>
    </w:r>
    <w:r>
      <w:rPr>
        <w:rStyle w:val="49"/>
      </w:rPr>
      <w:fldChar w:fldCharType="separate"/>
    </w:r>
    <w:r>
      <w:rPr>
        <w:rStyle w:val="49"/>
      </w:rPr>
      <w:t>59</w:t>
    </w:r>
    <w:r>
      <w:rPr>
        <w:rStyle w:val="49"/>
      </w:rP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fldChar w:fldCharType="begin"/>
    </w:r>
    <w:r>
      <w:instrText xml:space="preserve"> PAGE   \* MERGEFORMAT </w:instrText>
    </w:r>
    <w:r>
      <w:fldChar w:fldCharType="separate"/>
    </w:r>
    <w:r>
      <w:rPr>
        <w:lang w:val="zh-CN"/>
      </w:rPr>
      <w:t>13</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fldChar w:fldCharType="begin"/>
    </w:r>
    <w:r>
      <w:instrText xml:space="preserve"> PAGE   \* MERGEFORMAT </w:instrText>
    </w:r>
    <w:r>
      <w:fldChar w:fldCharType="separate"/>
    </w:r>
    <w:r>
      <w:rPr>
        <w:lang w:val="zh-CN"/>
      </w:rPr>
      <w:t>59</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pacing w:line="240" w:lineRule="auto"/>
    </w:pPr>
    <w:r>
      <w:rPr>
        <w:rFonts w:hint="eastAsia"/>
      </w:rPr>
      <w:t>深圳市深水水务咨询有限公司政府采购竞争性谈判文件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pacing w:line="240" w:lineRule="auto"/>
    </w:pPr>
    <w:r>
      <w:rPr>
        <w:rFonts w:hint="eastAsia"/>
      </w:rPr>
      <w:t>深圳市深水水务咨询有限公司政府采购竞争性谈判文件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bullet"/>
      <w:pStyle w:val="123"/>
      <w:lvlText w:val=""/>
      <w:lvlJc w:val="left"/>
      <w:pPr>
        <w:ind w:left="988" w:hanging="420"/>
      </w:pPr>
      <w:rPr>
        <w:rFonts w:hint="default" w:ascii="Wingdings" w:hAnsi="Wingdings"/>
      </w:rPr>
    </w:lvl>
    <w:lvl w:ilvl="1" w:tentative="0">
      <w:start w:val="1"/>
      <w:numFmt w:val="bullet"/>
      <w:lvlText w:val=""/>
      <w:lvlJc w:val="left"/>
      <w:pPr>
        <w:ind w:left="1408" w:hanging="420"/>
      </w:pPr>
      <w:rPr>
        <w:rFonts w:hint="default" w:ascii="Wingdings" w:hAnsi="Wingdings"/>
      </w:rPr>
    </w:lvl>
    <w:lvl w:ilvl="2" w:tentative="0">
      <w:start w:val="1"/>
      <w:numFmt w:val="bullet"/>
      <w:lvlText w:val=""/>
      <w:lvlJc w:val="left"/>
      <w:pPr>
        <w:ind w:left="1828" w:hanging="420"/>
      </w:pPr>
      <w:rPr>
        <w:rFonts w:hint="default" w:ascii="Wingdings" w:hAnsi="Wingdings"/>
      </w:rPr>
    </w:lvl>
    <w:lvl w:ilvl="3" w:tentative="0">
      <w:start w:val="1"/>
      <w:numFmt w:val="bullet"/>
      <w:lvlText w:val=""/>
      <w:lvlJc w:val="left"/>
      <w:pPr>
        <w:ind w:left="2248" w:hanging="420"/>
      </w:pPr>
      <w:rPr>
        <w:rFonts w:hint="default" w:ascii="Wingdings" w:hAnsi="Wingdings"/>
      </w:rPr>
    </w:lvl>
    <w:lvl w:ilvl="4" w:tentative="0">
      <w:start w:val="1"/>
      <w:numFmt w:val="bullet"/>
      <w:lvlText w:val=""/>
      <w:lvlJc w:val="left"/>
      <w:pPr>
        <w:ind w:left="2668" w:hanging="420"/>
      </w:pPr>
      <w:rPr>
        <w:rFonts w:hint="default" w:ascii="Wingdings" w:hAnsi="Wingdings"/>
      </w:rPr>
    </w:lvl>
    <w:lvl w:ilvl="5" w:tentative="0">
      <w:start w:val="1"/>
      <w:numFmt w:val="bullet"/>
      <w:lvlText w:val=""/>
      <w:lvlJc w:val="left"/>
      <w:pPr>
        <w:ind w:left="3088" w:hanging="420"/>
      </w:pPr>
      <w:rPr>
        <w:rFonts w:hint="default" w:ascii="Wingdings" w:hAnsi="Wingdings"/>
      </w:rPr>
    </w:lvl>
    <w:lvl w:ilvl="6" w:tentative="0">
      <w:start w:val="1"/>
      <w:numFmt w:val="bullet"/>
      <w:lvlText w:val=""/>
      <w:lvlJc w:val="left"/>
      <w:pPr>
        <w:ind w:left="3508" w:hanging="420"/>
      </w:pPr>
      <w:rPr>
        <w:rFonts w:hint="default" w:ascii="Wingdings" w:hAnsi="Wingdings"/>
      </w:rPr>
    </w:lvl>
    <w:lvl w:ilvl="7" w:tentative="0">
      <w:start w:val="1"/>
      <w:numFmt w:val="bullet"/>
      <w:lvlText w:val=""/>
      <w:lvlJc w:val="left"/>
      <w:pPr>
        <w:ind w:left="3928" w:hanging="420"/>
      </w:pPr>
      <w:rPr>
        <w:rFonts w:hint="default" w:ascii="Wingdings" w:hAnsi="Wingdings"/>
      </w:rPr>
    </w:lvl>
    <w:lvl w:ilvl="8" w:tentative="0">
      <w:start w:val="1"/>
      <w:numFmt w:val="bullet"/>
      <w:lvlText w:val=""/>
      <w:lvlJc w:val="left"/>
      <w:pPr>
        <w:ind w:left="4348" w:hanging="420"/>
      </w:pPr>
      <w:rPr>
        <w:rFonts w:hint="default" w:ascii="Wingdings" w:hAnsi="Wingdings"/>
      </w:rPr>
    </w:lvl>
  </w:abstractNum>
  <w:abstractNum w:abstractNumId="1">
    <w:nsid w:val="00000001"/>
    <w:multiLevelType w:val="multilevel"/>
    <w:tmpl w:val="00000001"/>
    <w:lvl w:ilvl="0" w:tentative="0">
      <w:start w:val="1"/>
      <w:numFmt w:val="bullet"/>
      <w:pStyle w:val="210"/>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00000002"/>
    <w:multiLevelType w:val="multilevel"/>
    <w:tmpl w:val="00000002"/>
    <w:lvl w:ilvl="0" w:tentative="0">
      <w:start w:val="1"/>
      <w:numFmt w:val="bullet"/>
      <w:pStyle w:val="92"/>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3">
    <w:nsid w:val="00000003"/>
    <w:multiLevelType w:val="multilevel"/>
    <w:tmpl w:val="00000003"/>
    <w:lvl w:ilvl="0" w:tentative="0">
      <w:start w:val="1"/>
      <w:numFmt w:val="chineseCountingThousand"/>
      <w:pStyle w:val="133"/>
      <w:lvlText w:val="第%1章"/>
      <w:lvlJc w:val="left"/>
      <w:pPr>
        <w:tabs>
          <w:tab w:val="left" w:pos="1440"/>
        </w:tabs>
        <w:ind w:left="0" w:firstLine="0"/>
      </w:pPr>
      <w:rPr>
        <w:rFonts w:hint="eastAsia"/>
      </w:rPr>
    </w:lvl>
    <w:lvl w:ilvl="1" w:tentative="0">
      <w:start w:val="1"/>
      <w:numFmt w:val="decimal"/>
      <w:pStyle w:val="134"/>
      <w:isLgl/>
      <w:lvlText w:val="%1.%2"/>
      <w:lvlJc w:val="left"/>
      <w:pPr>
        <w:tabs>
          <w:tab w:val="left" w:pos="720"/>
        </w:tabs>
        <w:ind w:left="0" w:firstLine="0"/>
      </w:pPr>
      <w:rPr>
        <w:rFonts w:hint="eastAsia"/>
      </w:rPr>
    </w:lvl>
    <w:lvl w:ilvl="2" w:tentative="0">
      <w:start w:val="1"/>
      <w:numFmt w:val="decimal"/>
      <w:pStyle w:val="135"/>
      <w:isLgl/>
      <w:suff w:val="space"/>
      <w:lvlText w:val="%1.%2.%3"/>
      <w:lvlJc w:val="left"/>
      <w:pPr>
        <w:ind w:left="0" w:firstLine="0"/>
      </w:pPr>
      <w:rPr>
        <w:rFonts w:hint="eastAsia"/>
      </w:rPr>
    </w:lvl>
    <w:lvl w:ilvl="3" w:tentative="0">
      <w:start w:val="1"/>
      <w:numFmt w:val="decimal"/>
      <w:lvlText w:val=""/>
      <w:lvlJc w:val="left"/>
      <w:pPr>
        <w:tabs>
          <w:tab w:val="left" w:pos="360"/>
        </w:tabs>
        <w:ind w:left="0" w:firstLine="0"/>
      </w:pPr>
      <w:rPr>
        <w:rFonts w:hint="eastAsia"/>
      </w:rPr>
    </w:lvl>
    <w:lvl w:ilvl="4" w:tentative="0">
      <w:start w:val="1"/>
      <w:numFmt w:val="decimal"/>
      <w:lvlText w:val=""/>
      <w:lvlJc w:val="left"/>
      <w:pPr>
        <w:tabs>
          <w:tab w:val="left" w:pos="360"/>
        </w:tabs>
        <w:ind w:left="0" w:firstLine="0"/>
      </w:pPr>
      <w:rPr>
        <w:rFonts w:hint="eastAsia"/>
      </w:rPr>
    </w:lvl>
    <w:lvl w:ilvl="5" w:tentative="0">
      <w:start w:val="1"/>
      <w:numFmt w:val="decimal"/>
      <w:lvlText w:val=""/>
      <w:lvlJc w:val="left"/>
      <w:pPr>
        <w:tabs>
          <w:tab w:val="left" w:pos="360"/>
        </w:tabs>
        <w:ind w:left="0" w:firstLine="0"/>
      </w:pPr>
      <w:rPr>
        <w:rFonts w:hint="eastAsia"/>
      </w:rPr>
    </w:lvl>
    <w:lvl w:ilvl="6" w:tentative="0">
      <w:start w:val="1"/>
      <w:numFmt w:val="decimal"/>
      <w:lvlText w:val=""/>
      <w:lvlJc w:val="left"/>
      <w:pPr>
        <w:tabs>
          <w:tab w:val="left" w:pos="360"/>
        </w:tabs>
        <w:ind w:left="0" w:firstLine="0"/>
      </w:pPr>
      <w:rPr>
        <w:rFonts w:hint="eastAsia"/>
      </w:rPr>
    </w:lvl>
    <w:lvl w:ilvl="7" w:tentative="0">
      <w:start w:val="1"/>
      <w:numFmt w:val="decimal"/>
      <w:lvlText w:val=""/>
      <w:lvlJc w:val="left"/>
      <w:pPr>
        <w:tabs>
          <w:tab w:val="left" w:pos="360"/>
        </w:tabs>
        <w:ind w:left="0" w:firstLine="0"/>
      </w:pPr>
      <w:rPr>
        <w:rFonts w:hint="eastAsia"/>
      </w:rPr>
    </w:lvl>
    <w:lvl w:ilvl="8" w:tentative="0">
      <w:start w:val="1"/>
      <w:numFmt w:val="decimal"/>
      <w:lvlText w:val=""/>
      <w:lvlJc w:val="left"/>
      <w:pPr>
        <w:tabs>
          <w:tab w:val="left" w:pos="360"/>
        </w:tabs>
        <w:ind w:left="0" w:firstLine="0"/>
      </w:pPr>
      <w:rPr>
        <w:rFonts w:hint="eastAsia"/>
      </w:rPr>
    </w:lvl>
  </w:abstractNum>
  <w:abstractNum w:abstractNumId="4">
    <w:nsid w:val="00000004"/>
    <w:multiLevelType w:val="multilevel"/>
    <w:tmpl w:val="00000004"/>
    <w:lvl w:ilvl="0" w:tentative="0">
      <w:start w:val="1"/>
      <w:numFmt w:val="chineseCountingThousand"/>
      <w:suff w:val="nothing"/>
      <w:lvlText w:val="%1、"/>
      <w:lvlJc w:val="left"/>
      <w:pPr>
        <w:ind w:left="1134" w:firstLine="0"/>
      </w:pPr>
      <w:rPr>
        <w:rFonts w:hint="eastAsia"/>
        <w:b w:val="0"/>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5"/>
    <w:multiLevelType w:val="multilevel"/>
    <w:tmpl w:val="00000005"/>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6"/>
    <w:multiLevelType w:val="multilevel"/>
    <w:tmpl w:val="00000006"/>
    <w:lvl w:ilvl="0" w:tentative="0">
      <w:start w:val="1"/>
      <w:numFmt w:val="decimal"/>
      <w:pStyle w:val="87"/>
      <w:lvlText w:val="图4-%1."/>
      <w:lvlJc w:val="center"/>
      <w:pPr>
        <w:tabs>
          <w:tab w:val="left" w:pos="737"/>
        </w:tabs>
        <w:ind w:left="737" w:hanging="449"/>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07"/>
    <w:multiLevelType w:val="multilevel"/>
    <w:tmpl w:val="00000007"/>
    <w:lvl w:ilvl="0" w:tentative="0">
      <w:start w:val="1"/>
      <w:numFmt w:val="chineseCountingThousand"/>
      <w:pStyle w:val="91"/>
      <w:lvlText w:val="第%1章"/>
      <w:lvlJc w:val="left"/>
      <w:pPr>
        <w:ind w:left="420" w:hanging="420"/>
      </w:pPr>
      <w:rPr>
        <w:rFonts w:hint="eastAsia"/>
      </w:rPr>
    </w:lvl>
    <w:lvl w:ilvl="1" w:tentative="0">
      <w:start w:val="1"/>
      <w:numFmt w:val="decimal"/>
      <w:lvlText w:val="1.%2"/>
      <w:lvlJc w:val="left"/>
      <w:pPr>
        <w:ind w:left="420" w:hanging="420"/>
      </w:pPr>
      <w:rPr>
        <w:rFonts w:hint="default" w:ascii="Calibri Light" w:hAnsi="Calibri Light" w:eastAsia="宋体" w:cs="Calibri"/>
        <w:sz w:val="32"/>
        <w:szCs w:val="32"/>
      </w:rPr>
    </w:lvl>
    <w:lvl w:ilvl="2" w:tentative="0">
      <w:start w:val="1"/>
      <w:numFmt w:val="decimal"/>
      <w:lvlText w:val="1.1.%3"/>
      <w:lvlJc w:val="left"/>
      <w:pPr>
        <w:ind w:left="420" w:firstLine="147"/>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08"/>
    <w:multiLevelType w:val="multilevel"/>
    <w:tmpl w:val="00000008"/>
    <w:lvl w:ilvl="0" w:tentative="0">
      <w:start w:val="1"/>
      <w:numFmt w:val="chineseCountingThousand"/>
      <w:lvlText w:val="%1、"/>
      <w:lvlJc w:val="left"/>
      <w:pPr>
        <w:tabs>
          <w:tab w:val="left" w:pos="420"/>
        </w:tabs>
        <w:ind w:left="420" w:hanging="420"/>
      </w:pPr>
      <w:rPr>
        <w:rFonts w:hint="eastAsia"/>
      </w:rPr>
    </w:lvl>
    <w:lvl w:ilvl="1" w:tentative="0">
      <w:start w:val="1"/>
      <w:numFmt w:val="decimal"/>
      <w:suff w:val="nothing"/>
      <w:lvlText w:val="%2."/>
      <w:lvlJc w:val="left"/>
      <w:pPr>
        <w:ind w:left="840" w:hanging="420"/>
      </w:pPr>
      <w:rPr>
        <w:rFonts w:hint="eastAsia" w:ascii="宋体" w:hAnsi="宋体" w:eastAsia="宋体"/>
        <w:b w:val="0"/>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9">
    <w:nsid w:val="00000009"/>
    <w:multiLevelType w:val="multilevel"/>
    <w:tmpl w:val="00000009"/>
    <w:lvl w:ilvl="0" w:tentative="0">
      <w:start w:val="1"/>
      <w:numFmt w:val="decimal"/>
      <w:pStyle w:val="95"/>
      <w:lvlText w:val="%1)"/>
      <w:lvlJc w:val="left"/>
      <w:pPr>
        <w:ind w:left="42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
    <w:nsid w:val="0000000A"/>
    <w:multiLevelType w:val="multilevel"/>
    <w:tmpl w:val="0000000A"/>
    <w:lvl w:ilvl="0" w:tentative="0">
      <w:start w:val="1"/>
      <w:numFmt w:val="bullet"/>
      <w:lvlText w:val=""/>
      <w:lvlJc w:val="left"/>
      <w:pPr>
        <w:ind w:left="420" w:hanging="420"/>
      </w:pPr>
      <w:rPr>
        <w:rFonts w:hint="default" w:ascii="Wingdings" w:hAnsi="Wingdings"/>
      </w:rPr>
    </w:lvl>
    <w:lvl w:ilvl="1" w:tentative="0">
      <w:start w:val="1"/>
      <w:numFmt w:val="decimal"/>
      <w:pStyle w:val="262"/>
      <w:lvlText w:val="%2)"/>
      <w:lvlJc w:val="left"/>
      <w:pPr>
        <w:ind w:left="840" w:hanging="420"/>
      </w:pPr>
      <w:rPr>
        <w:rFonts w:hint="defaul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0000000B"/>
    <w:multiLevelType w:val="multilevel"/>
    <w:tmpl w:val="0000000B"/>
    <w:lvl w:ilvl="0" w:tentative="0">
      <w:start w:val="1"/>
      <w:numFmt w:val="decimal"/>
      <w:pStyle w:val="243"/>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2">
    <w:nsid w:val="0000000C"/>
    <w:multiLevelType w:val="multilevel"/>
    <w:tmpl w:val="0000000C"/>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0000000D"/>
    <w:multiLevelType w:val="multilevel"/>
    <w:tmpl w:val="0000000D"/>
    <w:lvl w:ilvl="0" w:tentative="0">
      <w:start w:val="5"/>
      <w:numFmt w:val="decimal"/>
      <w:lvlText w:val="%1"/>
      <w:lvlJc w:val="left"/>
      <w:pPr>
        <w:tabs>
          <w:tab w:val="left" w:pos="425"/>
        </w:tabs>
        <w:ind w:left="425" w:hanging="425"/>
      </w:pPr>
      <w:rPr>
        <w:rFonts w:hint="eastAsia"/>
      </w:rPr>
    </w:lvl>
    <w:lvl w:ilvl="1" w:tentative="0">
      <w:start w:val="1"/>
      <w:numFmt w:val="decimal"/>
      <w:pStyle w:val="86"/>
      <w:lvlText w:val="%1.%2"/>
      <w:lvlJc w:val="left"/>
      <w:pPr>
        <w:tabs>
          <w:tab w:val="left" w:pos="510"/>
        </w:tabs>
        <w:ind w:left="420" w:hanging="420"/>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0000000E"/>
    <w:multiLevelType w:val="multilevel"/>
    <w:tmpl w:val="0000000E"/>
    <w:lvl w:ilvl="0" w:tentative="0">
      <w:start w:val="1"/>
      <w:numFmt w:val="decimal"/>
      <w:pStyle w:val="259"/>
      <w:lvlText w:val="%1)"/>
      <w:lvlJc w:val="left"/>
      <w:pPr>
        <w:ind w:left="420" w:hanging="420"/>
      </w:pPr>
      <w:rPr>
        <w:rFonts w:ascii="Times New Roman" w:hAnsi="Times New Roman" w:cs="Times New Roman"/>
        <w:b w:val="0"/>
        <w:bCs w:val="0"/>
        <w:i w:val="0"/>
        <w:iCs w:val="0"/>
        <w:caps w:val="0"/>
        <w:smallCaps w:val="0"/>
        <w:outline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0000000F"/>
    <w:multiLevelType w:val="multilevel"/>
    <w:tmpl w:val="0000000F"/>
    <w:lvl w:ilvl="0" w:tentative="0">
      <w:start w:val="1"/>
      <w:numFmt w:val="decimal"/>
      <w:suff w:val="nothing"/>
      <w:lvlText w:val="%1"/>
      <w:lvlJc w:val="left"/>
      <w:pPr>
        <w:ind w:left="0" w:firstLine="0"/>
      </w:pPr>
      <w:rPr>
        <w:rFonts w:hint="eastAsia" w:ascii="宋体" w:hAnsi="宋体" w:eastAsia="宋体"/>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0000010"/>
    <w:multiLevelType w:val="multilevel"/>
    <w:tmpl w:val="00000010"/>
    <w:lvl w:ilvl="0" w:tentative="0">
      <w:start w:val="1"/>
      <w:numFmt w:val="decimal"/>
      <w:suff w:val="nothing"/>
      <w:lvlText w:val="%1"/>
      <w:lvlJc w:val="left"/>
      <w:pPr>
        <w:ind w:left="0" w:firstLine="0"/>
      </w:pPr>
      <w:rPr>
        <w:rFonts w:hint="eastAsia" w:ascii="宋体" w:hAnsi="宋体" w:eastAsia="宋体"/>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0000011"/>
    <w:multiLevelType w:val="multilevel"/>
    <w:tmpl w:val="00000011"/>
    <w:lvl w:ilvl="0" w:tentative="0">
      <w:start w:val="2"/>
      <w:numFmt w:val="decimal"/>
      <w:lvlText w:val="(%1)"/>
      <w:lvlJc w:val="left"/>
      <w:pPr>
        <w:tabs>
          <w:tab w:val="left" w:pos="1200"/>
        </w:tabs>
        <w:ind w:left="1200" w:hanging="360"/>
      </w:pPr>
      <w:rPr>
        <w:rFonts w:hint="default"/>
      </w:rPr>
    </w:lvl>
    <w:lvl w:ilvl="1" w:tentative="0">
      <w:start w:val="1"/>
      <w:numFmt w:val="decimal"/>
      <w:suff w:val="nothing"/>
      <w:lvlText w:val="%2．"/>
      <w:lvlJc w:val="left"/>
      <w:pPr>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abstractNum w:abstractNumId="18">
    <w:nsid w:val="00000012"/>
    <w:multiLevelType w:val="multilevel"/>
    <w:tmpl w:val="00000012"/>
    <w:lvl w:ilvl="0" w:tentative="0">
      <w:start w:val="1"/>
      <w:numFmt w:val="bullet"/>
      <w:pStyle w:val="13"/>
      <w:lvlText w:val=""/>
      <w:lvlJc w:val="left"/>
      <w:pPr>
        <w:ind w:left="988"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9">
    <w:nsid w:val="00000013"/>
    <w:multiLevelType w:val="multilevel"/>
    <w:tmpl w:val="00000013"/>
    <w:lvl w:ilvl="0" w:tentative="0">
      <w:start w:val="1"/>
      <w:numFmt w:val="decimal"/>
      <w:pStyle w:val="138"/>
      <w:lvlText w:val="%1."/>
      <w:lvlJc w:val="left"/>
      <w:pPr>
        <w:tabs>
          <w:tab w:val="left" w:pos="900"/>
        </w:tabs>
        <w:ind w:left="90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00000014"/>
    <w:multiLevelType w:val="multilevel"/>
    <w:tmpl w:val="00000014"/>
    <w:lvl w:ilvl="0" w:tentative="0">
      <w:start w:val="1"/>
      <w:numFmt w:val="decimal"/>
      <w:pStyle w:val="249"/>
      <w:lvlText w:val="%1)"/>
      <w:lvlJc w:val="left"/>
      <w:pPr>
        <w:ind w:left="982" w:hanging="420"/>
      </w:pPr>
    </w:lvl>
    <w:lvl w:ilvl="1" w:tentative="0">
      <w:start w:val="1"/>
      <w:numFmt w:val="lowerLetter"/>
      <w:pStyle w:val="246"/>
      <w:lvlText w:val="%2)"/>
      <w:lvlJc w:val="left"/>
      <w:pPr>
        <w:ind w:left="1402" w:hanging="420"/>
      </w:pPr>
    </w:lvl>
    <w:lvl w:ilvl="2" w:tentative="0">
      <w:start w:val="1"/>
      <w:numFmt w:val="lowerRoman"/>
      <w:pStyle w:val="247"/>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1">
    <w:nsid w:val="00000015"/>
    <w:multiLevelType w:val="singleLevel"/>
    <w:tmpl w:val="00000015"/>
    <w:lvl w:ilvl="0" w:tentative="0">
      <w:start w:val="1"/>
      <w:numFmt w:val="bullet"/>
      <w:pStyle w:val="161"/>
      <w:lvlText w:val=""/>
      <w:lvlJc w:val="left"/>
      <w:pPr>
        <w:tabs>
          <w:tab w:val="left" w:pos="360"/>
        </w:tabs>
        <w:ind w:left="360" w:hanging="360"/>
      </w:pPr>
      <w:rPr>
        <w:rFonts w:hint="default" w:ascii="Wingdings" w:hAnsi="Wingdings"/>
      </w:rPr>
    </w:lvl>
  </w:abstractNum>
  <w:abstractNum w:abstractNumId="22">
    <w:nsid w:val="00000016"/>
    <w:multiLevelType w:val="multilevel"/>
    <w:tmpl w:val="00000016"/>
    <w:lvl w:ilvl="0" w:tentative="0">
      <w:start w:val="1"/>
      <w:numFmt w:val="decimal"/>
      <w:suff w:val="nothing"/>
      <w:lvlText w:val="%1"/>
      <w:lvlJc w:val="left"/>
      <w:pPr>
        <w:ind w:left="596" w:hanging="420"/>
      </w:pPr>
      <w:rPr>
        <w:rFonts w:hint="eastAsia"/>
      </w:rPr>
    </w:lvl>
    <w:lvl w:ilvl="1" w:tentative="0">
      <w:start w:val="1"/>
      <w:numFmt w:val="lowerLetter"/>
      <w:lvlText w:val="%2)"/>
      <w:lvlJc w:val="left"/>
      <w:pPr>
        <w:tabs>
          <w:tab w:val="left" w:pos="1016"/>
        </w:tabs>
        <w:ind w:left="1016" w:hanging="420"/>
      </w:pPr>
      <w:rPr>
        <w:rFonts w:hint="eastAsia"/>
      </w:rPr>
    </w:lvl>
    <w:lvl w:ilvl="2" w:tentative="0">
      <w:start w:val="1"/>
      <w:numFmt w:val="lowerRoman"/>
      <w:lvlText w:val="%3."/>
      <w:lvlJc w:val="right"/>
      <w:pPr>
        <w:tabs>
          <w:tab w:val="left" w:pos="1436"/>
        </w:tabs>
        <w:ind w:left="1436" w:hanging="420"/>
      </w:pPr>
      <w:rPr>
        <w:rFonts w:hint="eastAsia"/>
      </w:rPr>
    </w:lvl>
    <w:lvl w:ilvl="3" w:tentative="0">
      <w:start w:val="1"/>
      <w:numFmt w:val="decimal"/>
      <w:lvlText w:val="%4."/>
      <w:lvlJc w:val="left"/>
      <w:pPr>
        <w:tabs>
          <w:tab w:val="left" w:pos="1856"/>
        </w:tabs>
        <w:ind w:left="1856" w:hanging="420"/>
      </w:pPr>
      <w:rPr>
        <w:rFonts w:hint="eastAsia"/>
      </w:rPr>
    </w:lvl>
    <w:lvl w:ilvl="4" w:tentative="0">
      <w:start w:val="1"/>
      <w:numFmt w:val="lowerLetter"/>
      <w:lvlText w:val="%5)"/>
      <w:lvlJc w:val="left"/>
      <w:pPr>
        <w:tabs>
          <w:tab w:val="left" w:pos="2276"/>
        </w:tabs>
        <w:ind w:left="2276" w:hanging="420"/>
      </w:pPr>
      <w:rPr>
        <w:rFonts w:hint="eastAsia"/>
      </w:rPr>
    </w:lvl>
    <w:lvl w:ilvl="5" w:tentative="0">
      <w:start w:val="1"/>
      <w:numFmt w:val="lowerRoman"/>
      <w:lvlText w:val="%6."/>
      <w:lvlJc w:val="right"/>
      <w:pPr>
        <w:tabs>
          <w:tab w:val="left" w:pos="2696"/>
        </w:tabs>
        <w:ind w:left="2696" w:hanging="420"/>
      </w:pPr>
      <w:rPr>
        <w:rFonts w:hint="eastAsia"/>
      </w:rPr>
    </w:lvl>
    <w:lvl w:ilvl="6" w:tentative="0">
      <w:start w:val="1"/>
      <w:numFmt w:val="decimal"/>
      <w:lvlText w:val="%7."/>
      <w:lvlJc w:val="left"/>
      <w:pPr>
        <w:tabs>
          <w:tab w:val="left" w:pos="3116"/>
        </w:tabs>
        <w:ind w:left="3116" w:hanging="420"/>
      </w:pPr>
      <w:rPr>
        <w:rFonts w:hint="eastAsia"/>
      </w:rPr>
    </w:lvl>
    <w:lvl w:ilvl="7" w:tentative="0">
      <w:start w:val="1"/>
      <w:numFmt w:val="lowerLetter"/>
      <w:lvlText w:val="%8)"/>
      <w:lvlJc w:val="left"/>
      <w:pPr>
        <w:tabs>
          <w:tab w:val="left" w:pos="3536"/>
        </w:tabs>
        <w:ind w:left="3536" w:hanging="420"/>
      </w:pPr>
      <w:rPr>
        <w:rFonts w:hint="eastAsia"/>
      </w:rPr>
    </w:lvl>
    <w:lvl w:ilvl="8" w:tentative="0">
      <w:start w:val="1"/>
      <w:numFmt w:val="lowerRoman"/>
      <w:lvlText w:val="%9."/>
      <w:lvlJc w:val="right"/>
      <w:pPr>
        <w:tabs>
          <w:tab w:val="left" w:pos="3956"/>
        </w:tabs>
        <w:ind w:left="3956" w:hanging="420"/>
      </w:pPr>
      <w:rPr>
        <w:rFonts w:hint="eastAsia"/>
      </w:rPr>
    </w:lvl>
  </w:abstractNum>
  <w:abstractNum w:abstractNumId="23">
    <w:nsid w:val="00000017"/>
    <w:multiLevelType w:val="multilevel"/>
    <w:tmpl w:val="00000017"/>
    <w:lvl w:ilvl="0" w:tentative="0">
      <w:start w:val="1"/>
      <w:numFmt w:val="chineseCountingThousand"/>
      <w:pStyle w:val="229"/>
      <w:lvlText w:val="第%1章"/>
      <w:lvlJc w:val="left"/>
      <w:pPr>
        <w:tabs>
          <w:tab w:val="left" w:pos="340"/>
        </w:tabs>
        <w:ind w:left="0" w:firstLine="0"/>
      </w:pPr>
      <w:rPr>
        <w:rFonts w:hint="eastAsia"/>
      </w:rPr>
    </w:lvl>
    <w:lvl w:ilvl="1" w:tentative="0">
      <w:start w:val="1"/>
      <w:numFmt w:val="decimal"/>
      <w:pStyle w:val="230"/>
      <w:isLgl/>
      <w:suff w:val="space"/>
      <w:lvlText w:val="%1.%2"/>
      <w:lvlJc w:val="left"/>
      <w:pPr>
        <w:ind w:left="0" w:firstLine="0"/>
      </w:pPr>
      <w:rPr>
        <w:rFonts w:hint="eastAsia"/>
      </w:rPr>
    </w:lvl>
    <w:lvl w:ilvl="2" w:tentative="0">
      <w:start w:val="1"/>
      <w:numFmt w:val="decimal"/>
      <w:pStyle w:val="232"/>
      <w:isLgl/>
      <w:suff w:val="space"/>
      <w:lvlText w:val="%1.%2.%3"/>
      <w:lvlJc w:val="left"/>
      <w:pPr>
        <w:ind w:left="0" w:firstLine="0"/>
      </w:pPr>
      <w:rPr>
        <w:rFonts w:hint="eastAsia"/>
      </w:rPr>
    </w:lvl>
    <w:lvl w:ilvl="3" w:tentative="0">
      <w:start w:val="1"/>
      <w:numFmt w:val="decimal"/>
      <w:pStyle w:val="234"/>
      <w:isLgl/>
      <w:suff w:val="space"/>
      <w:lvlText w:val="%1.%2.%3.%4"/>
      <w:lvlJc w:val="left"/>
      <w:pPr>
        <w:ind w:left="0" w:firstLine="0"/>
      </w:pPr>
      <w:rPr>
        <w:b w:val="0"/>
        <w:bCs w:val="0"/>
        <w:i w:val="0"/>
        <w:iCs w:val="0"/>
        <w:caps w:val="0"/>
        <w:smallCaps w:val="0"/>
        <w:outline w:val="0"/>
        <w:emboss w:val="0"/>
        <w:imprint w:val="0"/>
        <w:vanish w:val="0"/>
        <w:spacing w:val="0"/>
        <w:position w:val="0"/>
        <w:u w:val="none"/>
        <w:vertAlign w:val="baseline"/>
      </w:rPr>
    </w:lvl>
    <w:lvl w:ilvl="4" w:tentative="0">
      <w:start w:val="1"/>
      <w:numFmt w:val="decimal"/>
      <w:pStyle w:val="236"/>
      <w:isLgl/>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4">
    <w:nsid w:val="00000018"/>
    <w:multiLevelType w:val="multilevel"/>
    <w:tmpl w:val="00000018"/>
    <w:lvl w:ilvl="0" w:tentative="0">
      <w:start w:val="1"/>
      <w:numFmt w:val="decimal"/>
      <w:pStyle w:val="254"/>
      <w:lvlText w:val="%1)"/>
      <w:lvlJc w:val="left"/>
      <w:pPr>
        <w:ind w:left="980" w:hanging="420"/>
      </w:pPr>
      <w:rPr>
        <w:b w:val="0"/>
        <w:bCs w:val="0"/>
        <w:i w:val="0"/>
        <w:iCs w:val="0"/>
        <w:caps w:val="0"/>
        <w:smallCaps w:val="0"/>
        <w:outline w:val="0"/>
        <w:emboss w:val="0"/>
        <w:imprint w:val="0"/>
        <w:vanish w:val="0"/>
        <w:spacing w:val="0"/>
        <w:position w:val="0"/>
        <w:u w:val="none"/>
        <w:vertAlign w:val="baseline"/>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5">
    <w:nsid w:val="00000019"/>
    <w:multiLevelType w:val="multilevel"/>
    <w:tmpl w:val="00000019"/>
    <w:lvl w:ilvl="0" w:tentative="0">
      <w:start w:val="1"/>
      <w:numFmt w:val="chineseCountingThousand"/>
      <w:suff w:val="nothing"/>
      <w:lvlText w:val="%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0000001A"/>
    <w:multiLevelType w:val="multilevel"/>
    <w:tmpl w:val="0000001A"/>
    <w:lvl w:ilvl="0" w:tentative="0">
      <w:start w:val="1"/>
      <w:numFmt w:val="decimal"/>
      <w:suff w:val="nothing"/>
      <w:lvlText w:val="%1"/>
      <w:lvlJc w:val="left"/>
      <w:pPr>
        <w:ind w:left="6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0000001B"/>
    <w:multiLevelType w:val="multilevel"/>
    <w:tmpl w:val="0000001B"/>
    <w:lvl w:ilvl="0" w:tentative="0">
      <w:start w:val="1"/>
      <w:numFmt w:val="bullet"/>
      <w:pStyle w:val="12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0000001C"/>
    <w:multiLevelType w:val="multilevel"/>
    <w:tmpl w:val="0000001C"/>
    <w:lvl w:ilvl="0" w:tentative="0">
      <w:start w:val="1"/>
      <w:numFmt w:val="decimal"/>
      <w:pStyle w:val="219"/>
      <w:suff w:val="space"/>
      <w:lvlText w:val="%1"/>
      <w:lvlJc w:val="left"/>
      <w:pPr>
        <w:ind w:left="0" w:firstLine="0"/>
      </w:pPr>
      <w:rPr>
        <w:rFonts w:hint="eastAsia"/>
      </w:rPr>
    </w:lvl>
    <w:lvl w:ilvl="1" w:tentative="0">
      <w:start w:val="1"/>
      <w:numFmt w:val="decimal"/>
      <w:pStyle w:val="221"/>
      <w:suff w:val="space"/>
      <w:lvlText w:val="%1.%2"/>
      <w:lvlJc w:val="left"/>
      <w:pPr>
        <w:ind w:left="0" w:firstLine="0"/>
      </w:pPr>
      <w:rPr>
        <w:rFonts w:hint="eastAsia"/>
      </w:rPr>
    </w:lvl>
    <w:lvl w:ilvl="2" w:tentative="0">
      <w:start w:val="1"/>
      <w:numFmt w:val="decimal"/>
      <w:pStyle w:val="223"/>
      <w:suff w:val="space"/>
      <w:lvlText w:val="%1.%2.%3"/>
      <w:lvlJc w:val="left"/>
      <w:pPr>
        <w:ind w:left="0" w:firstLine="0"/>
      </w:pPr>
      <w:rPr>
        <w:rFonts w:hint="eastAsia"/>
      </w:rPr>
    </w:lvl>
    <w:lvl w:ilvl="3" w:tentative="0">
      <w:start w:val="1"/>
      <w:numFmt w:val="decimal"/>
      <w:pStyle w:val="225"/>
      <w:suff w:val="space"/>
      <w:lvlText w:val="%1.%2.%3.%4"/>
      <w:lvlJc w:val="left"/>
      <w:pPr>
        <w:ind w:left="0" w:firstLine="0"/>
      </w:pPr>
      <w:rPr>
        <w:rFonts w:hint="eastAsia"/>
      </w:rPr>
    </w:lvl>
    <w:lvl w:ilvl="4" w:tentative="0">
      <w:start w:val="1"/>
      <w:numFmt w:val="decimal"/>
      <w:pStyle w:val="227"/>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18"/>
  </w:num>
  <w:num w:numId="2">
    <w:abstractNumId w:val="13"/>
  </w:num>
  <w:num w:numId="3">
    <w:abstractNumId w:val="6"/>
  </w:num>
  <w:num w:numId="4">
    <w:abstractNumId w:val="7"/>
  </w:num>
  <w:num w:numId="5">
    <w:abstractNumId w:val="2"/>
  </w:num>
  <w:num w:numId="6">
    <w:abstractNumId w:val="9"/>
  </w:num>
  <w:num w:numId="7">
    <w:abstractNumId w:val="12"/>
    <w:lvlOverride w:ilvl="0">
      <w:lvl w:ilvl="0" w:tentative="1">
        <w:start w:val="1"/>
        <w:numFmt w:val="decimal"/>
        <w:pStyle w:val="115"/>
        <w:lvlText w:val="%1."/>
        <w:lvlJc w:val="left"/>
        <w:pPr>
          <w:tabs>
            <w:tab w:val="left" w:pos="420"/>
          </w:tabs>
          <w:ind w:left="0" w:firstLine="420"/>
        </w:pPr>
        <w:rPr>
          <w:rFonts w:hint="eastAsia"/>
        </w:rPr>
      </w:lvl>
    </w:lvlOverride>
    <w:lvlOverride w:ilvl="1">
      <w:lvl w:ilvl="1" w:tentative="1">
        <w:start w:val="1"/>
        <w:numFmt w:val="decimal"/>
        <w:pStyle w:val="116"/>
        <w:lvlText w:val="(%2)"/>
        <w:lvlJc w:val="left"/>
        <w:pPr>
          <w:tabs>
            <w:tab w:val="left" w:pos="420"/>
          </w:tabs>
          <w:ind w:left="800" w:hanging="380"/>
        </w:pPr>
        <w:rPr>
          <w:rFonts w:hint="eastAsia"/>
        </w:rPr>
      </w:lvl>
    </w:lvlOverride>
    <w:lvlOverride w:ilvl="2">
      <w:lvl w:ilvl="2" w:tentative="1">
        <w:start w:val="1"/>
        <w:numFmt w:val="none"/>
        <w:lvlText w:val=""/>
        <w:lvlJc w:val="left"/>
        <w:pPr>
          <w:tabs>
            <w:tab w:val="left" w:pos="-328"/>
          </w:tabs>
          <w:ind w:left="-1462" w:firstLine="400"/>
        </w:pPr>
        <w:rPr>
          <w:rFonts w:hint="eastAsia"/>
        </w:rPr>
      </w:lvl>
    </w:lvlOverride>
    <w:lvlOverride w:ilvl="3">
      <w:lvl w:ilvl="3" w:tentative="1">
        <w:start w:val="1"/>
        <w:numFmt w:val="none"/>
        <w:lvlText w:val=""/>
        <w:lvlJc w:val="left"/>
        <w:pPr>
          <w:tabs>
            <w:tab w:val="left" w:pos="-1059"/>
          </w:tabs>
          <w:ind w:left="-2193" w:firstLine="400"/>
        </w:pPr>
        <w:rPr>
          <w:rFonts w:hint="eastAsia"/>
        </w:rPr>
      </w:lvl>
    </w:lvlOverride>
    <w:lvlOverride w:ilvl="4">
      <w:lvl w:ilvl="4" w:tentative="1">
        <w:start w:val="1"/>
        <w:numFmt w:val="none"/>
        <w:lvlText w:val=""/>
        <w:lvlJc w:val="left"/>
        <w:pPr>
          <w:tabs>
            <w:tab w:val="left" w:pos="-1790"/>
          </w:tabs>
          <w:ind w:left="-2924" w:firstLine="400"/>
        </w:pPr>
        <w:rPr>
          <w:rFonts w:hint="eastAsia"/>
        </w:rPr>
      </w:lvl>
    </w:lvlOverride>
    <w:lvlOverride w:ilvl="5">
      <w:lvl w:ilvl="5" w:tentative="1">
        <w:start w:val="1"/>
        <w:numFmt w:val="decimal"/>
        <w:lvlText w:val="%1.%2.%3.%4.%5.%6"/>
        <w:lvlJc w:val="left"/>
        <w:pPr>
          <w:tabs>
            <w:tab w:val="left" w:pos="-2521"/>
          </w:tabs>
          <w:ind w:left="-3655" w:firstLine="400"/>
        </w:pPr>
        <w:rPr>
          <w:rFonts w:hint="eastAsia"/>
        </w:rPr>
      </w:lvl>
    </w:lvlOverride>
    <w:lvlOverride w:ilvl="6">
      <w:lvl w:ilvl="6" w:tentative="1">
        <w:start w:val="1"/>
        <w:numFmt w:val="decimal"/>
        <w:lvlText w:val="%1.%2.%3.%4.%5.%6.%7"/>
        <w:lvlJc w:val="left"/>
        <w:pPr>
          <w:tabs>
            <w:tab w:val="left" w:pos="-3252"/>
          </w:tabs>
          <w:ind w:left="-4386" w:firstLine="400"/>
        </w:pPr>
        <w:rPr>
          <w:rFonts w:hint="eastAsia"/>
        </w:rPr>
      </w:lvl>
    </w:lvlOverride>
    <w:lvlOverride w:ilvl="7">
      <w:lvl w:ilvl="7" w:tentative="1">
        <w:start w:val="1"/>
        <w:numFmt w:val="decimal"/>
        <w:lvlText w:val="%1.%2.%3.%4.%5.%6.%7.%8"/>
        <w:lvlJc w:val="left"/>
        <w:pPr>
          <w:tabs>
            <w:tab w:val="left" w:pos="-3983"/>
          </w:tabs>
          <w:ind w:left="-5117" w:firstLine="400"/>
        </w:pPr>
        <w:rPr>
          <w:rFonts w:hint="eastAsia"/>
        </w:rPr>
      </w:lvl>
    </w:lvlOverride>
    <w:lvlOverride w:ilvl="8">
      <w:lvl w:ilvl="8" w:tentative="1">
        <w:start w:val="1"/>
        <w:numFmt w:val="decimal"/>
        <w:lvlText w:val="%1.%2.%3.%4.%5.%6.%7.%8.%9"/>
        <w:lvlJc w:val="left"/>
        <w:pPr>
          <w:tabs>
            <w:tab w:val="left" w:pos="-4714"/>
          </w:tabs>
          <w:ind w:left="-5848" w:firstLine="400"/>
        </w:pPr>
        <w:rPr>
          <w:rFonts w:hint="eastAsia"/>
        </w:rPr>
      </w:lvl>
    </w:lvlOverride>
  </w:num>
  <w:num w:numId="8">
    <w:abstractNumId w:val="0"/>
  </w:num>
  <w:num w:numId="9">
    <w:abstractNumId w:val="27"/>
  </w:num>
  <w:num w:numId="10">
    <w:abstractNumId w:val="3"/>
  </w:num>
  <w:num w:numId="11">
    <w:abstractNumId w:val="19"/>
  </w:num>
  <w:num w:numId="12">
    <w:abstractNumId w:val="21"/>
  </w:num>
  <w:num w:numId="13">
    <w:abstractNumId w:val="1"/>
  </w:num>
  <w:num w:numId="14">
    <w:abstractNumId w:val="28"/>
  </w:num>
  <w:num w:numId="15">
    <w:abstractNumId w:val="23"/>
  </w:num>
  <w:num w:numId="16">
    <w:abstractNumId w:val="11"/>
  </w:num>
  <w:num w:numId="17">
    <w:abstractNumId w:val="20"/>
  </w:num>
  <w:num w:numId="18">
    <w:abstractNumId w:val="24"/>
  </w:num>
  <w:num w:numId="19">
    <w:abstractNumId w:val="14"/>
  </w:num>
  <w:num w:numId="20">
    <w:abstractNumId w:val="10"/>
  </w:num>
  <w:num w:numId="21">
    <w:abstractNumId w:val="26"/>
  </w:num>
  <w:num w:numId="22">
    <w:abstractNumId w:val="22"/>
  </w:num>
  <w:num w:numId="23">
    <w:abstractNumId w:val="16"/>
  </w:num>
  <w:num w:numId="24">
    <w:abstractNumId w:val="25"/>
  </w:num>
  <w:num w:numId="25">
    <w:abstractNumId w:val="15"/>
  </w:num>
  <w:num w:numId="26">
    <w:abstractNumId w:val="4"/>
  </w:num>
  <w:num w:numId="27">
    <w:abstractNumId w:val="8"/>
  </w:num>
  <w:num w:numId="28">
    <w:abstractNumId w:val="17"/>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D53D0"/>
    <w:rsid w:val="049F57FE"/>
    <w:rsid w:val="04FD0162"/>
    <w:rsid w:val="0A831C91"/>
    <w:rsid w:val="0C4331CD"/>
    <w:rsid w:val="0CC25F19"/>
    <w:rsid w:val="105E2ED7"/>
    <w:rsid w:val="10A36062"/>
    <w:rsid w:val="1283614B"/>
    <w:rsid w:val="143977E2"/>
    <w:rsid w:val="18074BD0"/>
    <w:rsid w:val="18F20563"/>
    <w:rsid w:val="1E1660C5"/>
    <w:rsid w:val="20CC4A45"/>
    <w:rsid w:val="21A32967"/>
    <w:rsid w:val="22CD57A2"/>
    <w:rsid w:val="247D4CF8"/>
    <w:rsid w:val="261125AF"/>
    <w:rsid w:val="28773E21"/>
    <w:rsid w:val="28861B87"/>
    <w:rsid w:val="2A924D25"/>
    <w:rsid w:val="2AA31C9D"/>
    <w:rsid w:val="2D3E31AC"/>
    <w:rsid w:val="2DF573FB"/>
    <w:rsid w:val="2E01707A"/>
    <w:rsid w:val="2EC27094"/>
    <w:rsid w:val="2F261FE4"/>
    <w:rsid w:val="30DA78CA"/>
    <w:rsid w:val="35B67A24"/>
    <w:rsid w:val="35C42453"/>
    <w:rsid w:val="3A975F52"/>
    <w:rsid w:val="42B21C15"/>
    <w:rsid w:val="42EB622D"/>
    <w:rsid w:val="44433B49"/>
    <w:rsid w:val="446077EA"/>
    <w:rsid w:val="453F5652"/>
    <w:rsid w:val="47B51841"/>
    <w:rsid w:val="47CA56A6"/>
    <w:rsid w:val="51994F54"/>
    <w:rsid w:val="535C0F98"/>
    <w:rsid w:val="53BC749F"/>
    <w:rsid w:val="53D45039"/>
    <w:rsid w:val="54073EB9"/>
    <w:rsid w:val="54B27BEE"/>
    <w:rsid w:val="555E2C94"/>
    <w:rsid w:val="556709D9"/>
    <w:rsid w:val="55DB4F23"/>
    <w:rsid w:val="56344356"/>
    <w:rsid w:val="574D3BFE"/>
    <w:rsid w:val="57BA0126"/>
    <w:rsid w:val="57EA769F"/>
    <w:rsid w:val="5CB442D1"/>
    <w:rsid w:val="5DA134F7"/>
    <w:rsid w:val="5DDD0DCF"/>
    <w:rsid w:val="5EF420AB"/>
    <w:rsid w:val="5EF57055"/>
    <w:rsid w:val="5F180F96"/>
    <w:rsid w:val="61D07906"/>
    <w:rsid w:val="620F042E"/>
    <w:rsid w:val="62EE45F6"/>
    <w:rsid w:val="63FE69AC"/>
    <w:rsid w:val="64432611"/>
    <w:rsid w:val="647B25B6"/>
    <w:rsid w:val="66E9583E"/>
    <w:rsid w:val="678336A0"/>
    <w:rsid w:val="680F2729"/>
    <w:rsid w:val="6FAA79E8"/>
    <w:rsid w:val="731F249B"/>
    <w:rsid w:val="73F425C0"/>
    <w:rsid w:val="75E63884"/>
    <w:rsid w:val="767641E1"/>
    <w:rsid w:val="781A7529"/>
    <w:rsid w:val="795A494A"/>
    <w:rsid w:val="7B762E74"/>
    <w:rsid w:val="7D142945"/>
    <w:rsid w:val="7F4D2D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hd w:val="clear" w:color="auto" w:fill="FFFFFF"/>
      <w:tabs>
        <w:tab w:val="left" w:pos="426"/>
      </w:tabs>
      <w:adjustRightInd w:val="0"/>
      <w:snapToGrid w:val="0"/>
      <w:spacing w:line="360" w:lineRule="auto"/>
      <w:jc w:val="both"/>
    </w:pPr>
    <w:rPr>
      <w:rFonts w:ascii="宋体" w:hAnsi="宋体" w:eastAsia="宋体" w:cs="宋体"/>
      <w:sz w:val="21"/>
      <w:szCs w:val="24"/>
      <w:lang w:val="en-US" w:eastAsia="zh-CN" w:bidi="ar-SA"/>
    </w:rPr>
  </w:style>
  <w:style w:type="paragraph" w:styleId="2">
    <w:name w:val="heading 1"/>
    <w:basedOn w:val="3"/>
    <w:next w:val="1"/>
    <w:link w:val="57"/>
    <w:qFormat/>
    <w:uiPriority w:val="0"/>
    <w:pPr>
      <w:keepNext w:val="0"/>
      <w:keepLines w:val="0"/>
      <w:tabs>
        <w:tab w:val="left" w:pos="426"/>
      </w:tabs>
      <w:spacing w:before="340" w:after="330" w:line="300" w:lineRule="auto"/>
      <w:jc w:val="center"/>
      <w:outlineLvl w:val="0"/>
    </w:pPr>
    <w:rPr>
      <w:rFonts w:eastAsia="黑体"/>
      <w:kern w:val="44"/>
      <w:sz w:val="28"/>
      <w:szCs w:val="28"/>
    </w:rPr>
  </w:style>
  <w:style w:type="paragraph" w:styleId="5">
    <w:name w:val="heading 2"/>
    <w:basedOn w:val="3"/>
    <w:next w:val="4"/>
    <w:link w:val="285"/>
    <w:qFormat/>
    <w:uiPriority w:val="0"/>
    <w:pPr>
      <w:tabs>
        <w:tab w:val="left" w:pos="426"/>
      </w:tabs>
      <w:textAlignment w:val="baseline"/>
      <w:outlineLvl w:val="1"/>
    </w:pPr>
    <w:rPr>
      <w:bCs w:val="0"/>
      <w:kern w:val="0"/>
      <w:szCs w:val="20"/>
    </w:rPr>
  </w:style>
  <w:style w:type="paragraph" w:styleId="3">
    <w:name w:val="heading 3"/>
    <w:basedOn w:val="4"/>
    <w:next w:val="1"/>
    <w:link w:val="56"/>
    <w:qFormat/>
    <w:uiPriority w:val="0"/>
    <w:pPr>
      <w:tabs>
        <w:tab w:val="left" w:pos="426"/>
      </w:tabs>
      <w:spacing w:before="260" w:after="260" w:line="240" w:lineRule="auto"/>
      <w:outlineLvl w:val="2"/>
    </w:pPr>
    <w:rPr>
      <w:rFonts w:ascii="宋体" w:hAnsi="宋体" w:eastAsia="宋体"/>
      <w:sz w:val="24"/>
      <w:szCs w:val="32"/>
    </w:rPr>
  </w:style>
  <w:style w:type="paragraph" w:styleId="4">
    <w:name w:val="heading 4"/>
    <w:basedOn w:val="1"/>
    <w:next w:val="1"/>
    <w:link w:val="54"/>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6">
    <w:name w:val="heading 5"/>
    <w:basedOn w:val="1"/>
    <w:next w:val="7"/>
    <w:link w:val="118"/>
    <w:qFormat/>
    <w:uiPriority w:val="0"/>
    <w:pPr>
      <w:keepNext/>
      <w:keepLines/>
      <w:spacing w:before="280" w:after="290" w:line="376" w:lineRule="auto"/>
      <w:jc w:val="center"/>
      <w:outlineLvl w:val="4"/>
    </w:pPr>
    <w:rPr>
      <w:rFonts w:ascii="Times New Roman" w:hAnsi="Times New Roman" w:cs="Times New Roman"/>
      <w:b/>
      <w:kern w:val="2"/>
      <w:sz w:val="24"/>
      <w:szCs w:val="20"/>
    </w:rPr>
  </w:style>
  <w:style w:type="paragraph" w:styleId="8">
    <w:name w:val="heading 6"/>
    <w:basedOn w:val="1"/>
    <w:next w:val="7"/>
    <w:link w:val="119"/>
    <w:qFormat/>
    <w:uiPriority w:val="0"/>
    <w:pPr>
      <w:keepNext/>
      <w:keepLines/>
      <w:spacing w:before="240" w:after="64" w:line="320" w:lineRule="auto"/>
      <w:outlineLvl w:val="5"/>
    </w:pPr>
    <w:rPr>
      <w:rFonts w:ascii="Arial" w:hAnsi="Arial" w:eastAsia="黑体" w:cs="Times New Roman"/>
      <w:b/>
      <w:kern w:val="2"/>
      <w:sz w:val="24"/>
      <w:szCs w:val="20"/>
    </w:rPr>
  </w:style>
  <w:style w:type="paragraph" w:styleId="9">
    <w:name w:val="heading 7"/>
    <w:basedOn w:val="1"/>
    <w:next w:val="7"/>
    <w:link w:val="120"/>
    <w:qFormat/>
    <w:uiPriority w:val="0"/>
    <w:pPr>
      <w:keepNext/>
      <w:keepLines/>
      <w:spacing w:before="240" w:after="64" w:line="320" w:lineRule="auto"/>
      <w:outlineLvl w:val="6"/>
    </w:pPr>
    <w:rPr>
      <w:rFonts w:ascii="Times New Roman" w:hAnsi="Times New Roman" w:cs="Times New Roman"/>
      <w:b/>
      <w:kern w:val="2"/>
      <w:sz w:val="24"/>
      <w:szCs w:val="20"/>
    </w:rPr>
  </w:style>
  <w:style w:type="paragraph" w:styleId="10">
    <w:name w:val="heading 8"/>
    <w:basedOn w:val="1"/>
    <w:next w:val="7"/>
    <w:link w:val="121"/>
    <w:qFormat/>
    <w:uiPriority w:val="0"/>
    <w:pPr>
      <w:keepNext/>
      <w:keepLines/>
      <w:spacing w:before="240" w:after="64" w:line="320" w:lineRule="auto"/>
      <w:outlineLvl w:val="7"/>
    </w:pPr>
    <w:rPr>
      <w:rFonts w:ascii="Arial" w:hAnsi="Arial" w:eastAsia="黑体" w:cs="Times New Roman"/>
      <w:kern w:val="2"/>
      <w:sz w:val="24"/>
      <w:szCs w:val="20"/>
    </w:rPr>
  </w:style>
  <w:style w:type="paragraph" w:styleId="11">
    <w:name w:val="heading 9"/>
    <w:basedOn w:val="1"/>
    <w:next w:val="7"/>
    <w:link w:val="122"/>
    <w:qFormat/>
    <w:uiPriority w:val="0"/>
    <w:pPr>
      <w:keepNext/>
      <w:keepLines/>
      <w:spacing w:before="240" w:after="64" w:line="320" w:lineRule="auto"/>
      <w:outlineLvl w:val="8"/>
    </w:pPr>
    <w:rPr>
      <w:rFonts w:ascii="Arial" w:hAnsi="Arial" w:eastAsia="黑体" w:cs="Times New Roman"/>
      <w:kern w:val="2"/>
      <w:szCs w:val="20"/>
    </w:rPr>
  </w:style>
  <w:style w:type="character" w:default="1" w:styleId="47">
    <w:name w:val="Default Paragraph Font"/>
    <w:qFormat/>
    <w:uiPriority w:val="1"/>
  </w:style>
  <w:style w:type="table" w:default="1" w:styleId="44">
    <w:name w:val="Normal Table"/>
    <w:qFormat/>
    <w:uiPriority w:val="99"/>
    <w:tblPr>
      <w:tblCellMar>
        <w:top w:w="0" w:type="dxa"/>
        <w:left w:w="108" w:type="dxa"/>
        <w:bottom w:w="0" w:type="dxa"/>
        <w:right w:w="108" w:type="dxa"/>
      </w:tblCellMar>
    </w:tblPr>
  </w:style>
  <w:style w:type="paragraph" w:styleId="7">
    <w:name w:val="Normal Indent"/>
    <w:basedOn w:val="1"/>
    <w:link w:val="58"/>
    <w:qFormat/>
    <w:uiPriority w:val="0"/>
    <w:pPr>
      <w:ind w:firstLine="420"/>
    </w:pPr>
    <w:rPr>
      <w:rFonts w:ascii="Times New Roman" w:hAnsi="Times New Roman" w:cs="Times New Roman"/>
      <w:kern w:val="2"/>
      <w:szCs w:val="20"/>
    </w:r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numPr>
        <w:ilvl w:val="0"/>
        <w:numId w:val="1"/>
      </w:numPr>
      <w:tabs>
        <w:tab w:val="left" w:pos="820"/>
      </w:tabs>
      <w:spacing w:afterLines="50"/>
    </w:pPr>
    <w:rPr>
      <w:sz w:val="24"/>
      <w:szCs w:val="20"/>
    </w:rPr>
  </w:style>
  <w:style w:type="paragraph" w:styleId="14">
    <w:name w:val="caption"/>
    <w:basedOn w:val="1"/>
    <w:next w:val="1"/>
    <w:qFormat/>
    <w:uiPriority w:val="0"/>
    <w:rPr>
      <w:rFonts w:ascii="Arial" w:hAnsi="Arial" w:eastAsia="黑体" w:cs="Arial"/>
      <w:sz w:val="20"/>
      <w:szCs w:val="20"/>
    </w:rPr>
  </w:style>
  <w:style w:type="paragraph" w:styleId="15">
    <w:name w:val="List Bullet"/>
    <w:basedOn w:val="1"/>
    <w:qFormat/>
    <w:uiPriority w:val="0"/>
    <w:pPr>
      <w:tabs>
        <w:tab w:val="left" w:pos="360"/>
      </w:tabs>
      <w:ind w:left="360" w:hanging="360" w:hangingChars="200"/>
    </w:pPr>
    <w:rPr>
      <w:szCs w:val="20"/>
    </w:rPr>
  </w:style>
  <w:style w:type="paragraph" w:styleId="16">
    <w:name w:val="Document Map"/>
    <w:basedOn w:val="1"/>
    <w:link w:val="111"/>
    <w:qFormat/>
    <w:uiPriority w:val="0"/>
    <w:pPr>
      <w:shd w:val="clear" w:color="auto" w:fill="000080"/>
    </w:pPr>
    <w:rPr>
      <w:rFonts w:ascii="Times New Roman" w:hAnsi="Times New Roman" w:cs="Times New Roman"/>
      <w:kern w:val="2"/>
    </w:rPr>
  </w:style>
  <w:style w:type="paragraph" w:styleId="17">
    <w:name w:val="toa heading"/>
    <w:basedOn w:val="1"/>
    <w:next w:val="1"/>
    <w:qFormat/>
    <w:uiPriority w:val="0"/>
    <w:pPr>
      <w:spacing w:before="120"/>
    </w:pPr>
    <w:rPr>
      <w:rFonts w:ascii="Arial" w:hAnsi="Arial"/>
      <w:sz w:val="24"/>
      <w:szCs w:val="20"/>
    </w:rPr>
  </w:style>
  <w:style w:type="paragraph" w:styleId="18">
    <w:name w:val="annotation text"/>
    <w:basedOn w:val="1"/>
    <w:link w:val="72"/>
    <w:qFormat/>
    <w:uiPriority w:val="0"/>
    <w:pPr>
      <w:autoSpaceDE w:val="0"/>
      <w:autoSpaceDN w:val="0"/>
      <w:jc w:val="left"/>
      <w:textAlignment w:val="baseline"/>
    </w:pPr>
    <w:rPr>
      <w:rFonts w:hAnsi="Times New Roman" w:cs="Times New Roman"/>
      <w:sz w:val="34"/>
      <w:szCs w:val="20"/>
    </w:rPr>
  </w:style>
  <w:style w:type="paragraph" w:styleId="19">
    <w:name w:val="Body Text 3"/>
    <w:basedOn w:val="1"/>
    <w:link w:val="274"/>
    <w:qFormat/>
    <w:uiPriority w:val="0"/>
    <w:pPr>
      <w:spacing w:after="120"/>
    </w:pPr>
    <w:rPr>
      <w:rFonts w:ascii="Times New Roman" w:hAnsi="Times New Roman" w:cs="Times New Roman"/>
      <w:kern w:val="2"/>
      <w:sz w:val="16"/>
      <w:szCs w:val="16"/>
    </w:rPr>
  </w:style>
  <w:style w:type="paragraph" w:styleId="20">
    <w:name w:val="Body Text"/>
    <w:basedOn w:val="1"/>
    <w:link w:val="286"/>
    <w:qFormat/>
    <w:uiPriority w:val="0"/>
    <w:rPr>
      <w:b/>
      <w:bCs/>
      <w:sz w:val="24"/>
    </w:rPr>
  </w:style>
  <w:style w:type="paragraph" w:styleId="21">
    <w:name w:val="Body Text Indent"/>
    <w:basedOn w:val="1"/>
    <w:link w:val="214"/>
    <w:qFormat/>
    <w:uiPriority w:val="0"/>
    <w:pPr>
      <w:ind w:firstLine="420" w:firstLineChars="200"/>
    </w:pPr>
    <w:rPr>
      <w:rFonts w:ascii="Times New Roman" w:hAnsi="Times New Roman" w:cs="Times New Roman"/>
      <w:kern w:val="2"/>
    </w:rPr>
  </w:style>
  <w:style w:type="paragraph" w:styleId="22">
    <w:name w:val="toc 5"/>
    <w:basedOn w:val="1"/>
    <w:next w:val="1"/>
    <w:qFormat/>
    <w:uiPriority w:val="0"/>
    <w:pPr>
      <w:ind w:left="840"/>
      <w:jc w:val="left"/>
    </w:pPr>
    <w:rPr>
      <w:szCs w:val="21"/>
    </w:rPr>
  </w:style>
  <w:style w:type="paragraph" w:styleId="23">
    <w:name w:val="toc 3"/>
    <w:basedOn w:val="1"/>
    <w:next w:val="1"/>
    <w:qFormat/>
    <w:uiPriority w:val="39"/>
    <w:pPr>
      <w:ind w:left="420"/>
      <w:jc w:val="left"/>
    </w:pPr>
    <w:rPr>
      <w:i/>
      <w:iCs/>
    </w:rPr>
  </w:style>
  <w:style w:type="paragraph" w:styleId="24">
    <w:name w:val="Plain Text"/>
    <w:basedOn w:val="1"/>
    <w:link w:val="73"/>
    <w:qFormat/>
    <w:uiPriority w:val="0"/>
    <w:rPr>
      <w:rFonts w:hAnsi="Courier New" w:cs="Times New Roman"/>
      <w:kern w:val="2"/>
      <w:szCs w:val="20"/>
    </w:rPr>
  </w:style>
  <w:style w:type="paragraph" w:styleId="25">
    <w:name w:val="toc 8"/>
    <w:basedOn w:val="1"/>
    <w:next w:val="1"/>
    <w:qFormat/>
    <w:uiPriority w:val="0"/>
    <w:pPr>
      <w:ind w:left="1470"/>
      <w:jc w:val="left"/>
    </w:pPr>
    <w:rPr>
      <w:szCs w:val="21"/>
    </w:rPr>
  </w:style>
  <w:style w:type="paragraph" w:styleId="26">
    <w:name w:val="Date"/>
    <w:basedOn w:val="1"/>
    <w:next w:val="1"/>
    <w:link w:val="84"/>
    <w:qFormat/>
    <w:uiPriority w:val="0"/>
    <w:rPr>
      <w:rFonts w:hAnsi="Courier New" w:cs="Times New Roman"/>
      <w:kern w:val="2"/>
      <w:sz w:val="32"/>
      <w:szCs w:val="20"/>
    </w:rPr>
  </w:style>
  <w:style w:type="paragraph" w:styleId="27">
    <w:name w:val="Body Text Indent 2"/>
    <w:basedOn w:val="1"/>
    <w:link w:val="213"/>
    <w:qFormat/>
    <w:uiPriority w:val="0"/>
    <w:pPr>
      <w:spacing w:beforeLines="50" w:afterLines="50" w:line="120" w:lineRule="auto"/>
      <w:ind w:firstLine="840" w:firstLineChars="400"/>
      <w:jc w:val="left"/>
    </w:pPr>
    <w:rPr>
      <w:rFonts w:cs="Times New Roman"/>
      <w:kern w:val="2"/>
    </w:rPr>
  </w:style>
  <w:style w:type="paragraph" w:styleId="28">
    <w:name w:val="Balloon Text"/>
    <w:basedOn w:val="1"/>
    <w:link w:val="110"/>
    <w:qFormat/>
    <w:uiPriority w:val="0"/>
    <w:rPr>
      <w:rFonts w:ascii="Times New Roman" w:hAnsi="Times New Roman" w:cs="Times New Roman"/>
      <w:kern w:val="2"/>
      <w:sz w:val="18"/>
      <w:szCs w:val="18"/>
    </w:rPr>
  </w:style>
  <w:style w:type="paragraph" w:styleId="29">
    <w:name w:val="footer"/>
    <w:basedOn w:val="1"/>
    <w:link w:val="109"/>
    <w:qFormat/>
    <w:uiPriority w:val="99"/>
    <w:pPr>
      <w:tabs>
        <w:tab w:val="center" w:pos="4153"/>
        <w:tab w:val="right" w:pos="8306"/>
      </w:tabs>
      <w:jc w:val="left"/>
    </w:pPr>
    <w:rPr>
      <w:rFonts w:ascii="Times New Roman" w:hAnsi="Times New Roman" w:cs="Times New Roman"/>
      <w:kern w:val="2"/>
      <w:sz w:val="18"/>
      <w:szCs w:val="18"/>
    </w:rPr>
  </w:style>
  <w:style w:type="paragraph" w:styleId="30">
    <w:name w:val="header"/>
    <w:basedOn w:val="1"/>
    <w:link w:val="79"/>
    <w:qFormat/>
    <w:uiPriority w:val="99"/>
    <w:pPr>
      <w:pBdr>
        <w:bottom w:val="single" w:color="auto" w:sz="6" w:space="1"/>
      </w:pBdr>
      <w:tabs>
        <w:tab w:val="center" w:pos="4153"/>
        <w:tab w:val="right" w:pos="8306"/>
      </w:tabs>
      <w:jc w:val="center"/>
    </w:pPr>
    <w:rPr>
      <w:rFonts w:ascii="Times New Roman" w:hAnsi="Times New Roman" w:cs="Times New Roman"/>
      <w:kern w:val="2"/>
      <w:sz w:val="18"/>
      <w:szCs w:val="18"/>
    </w:rPr>
  </w:style>
  <w:style w:type="paragraph" w:styleId="31">
    <w:name w:val="toc 1"/>
    <w:basedOn w:val="1"/>
    <w:next w:val="1"/>
    <w:qFormat/>
    <w:uiPriority w:val="39"/>
    <w:pPr>
      <w:tabs>
        <w:tab w:val="right" w:leader="dot" w:pos="8789"/>
      </w:tabs>
      <w:adjustRightInd/>
      <w:snapToGrid/>
      <w:spacing w:before="120" w:after="120"/>
      <w:jc w:val="left"/>
    </w:pPr>
    <w:rPr>
      <w:b/>
      <w:bCs/>
      <w:caps/>
      <w:sz w:val="28"/>
    </w:rPr>
  </w:style>
  <w:style w:type="paragraph" w:styleId="32">
    <w:name w:val="toc 4"/>
    <w:basedOn w:val="1"/>
    <w:next w:val="1"/>
    <w:qFormat/>
    <w:uiPriority w:val="0"/>
    <w:pPr>
      <w:ind w:left="630"/>
      <w:jc w:val="left"/>
    </w:pPr>
    <w:rPr>
      <w:szCs w:val="21"/>
    </w:rPr>
  </w:style>
  <w:style w:type="paragraph" w:styleId="33">
    <w:name w:val="Subtitle"/>
    <w:basedOn w:val="1"/>
    <w:next w:val="1"/>
    <w:link w:val="76"/>
    <w:qFormat/>
    <w:uiPriority w:val="0"/>
    <w:pPr>
      <w:spacing w:before="240" w:after="60" w:line="312" w:lineRule="auto"/>
      <w:jc w:val="center"/>
      <w:outlineLvl w:val="1"/>
    </w:pPr>
    <w:rPr>
      <w:rFonts w:ascii="Cambria" w:hAnsi="Cambria" w:cs="Times New Roman"/>
      <w:b/>
      <w:bCs/>
      <w:kern w:val="28"/>
      <w:sz w:val="28"/>
      <w:szCs w:val="32"/>
    </w:rPr>
  </w:style>
  <w:style w:type="paragraph" w:styleId="34">
    <w:name w:val="toc 6"/>
    <w:basedOn w:val="1"/>
    <w:next w:val="1"/>
    <w:qFormat/>
    <w:uiPriority w:val="0"/>
    <w:pPr>
      <w:ind w:left="1050"/>
      <w:jc w:val="left"/>
    </w:pPr>
    <w:rPr>
      <w:szCs w:val="21"/>
    </w:rPr>
  </w:style>
  <w:style w:type="paragraph" w:styleId="35">
    <w:name w:val="Body Text Indent 3"/>
    <w:basedOn w:val="1"/>
    <w:link w:val="269"/>
    <w:qFormat/>
    <w:uiPriority w:val="0"/>
    <w:pPr>
      <w:ind w:firstLine="482" w:firstLineChars="200"/>
    </w:pPr>
    <w:rPr>
      <w:rFonts w:hAnsi="Times New Roman" w:cs="Times New Roman"/>
      <w:b/>
      <w:bCs/>
      <w:kern w:val="2"/>
      <w:sz w:val="24"/>
    </w:rPr>
  </w:style>
  <w:style w:type="paragraph" w:styleId="36">
    <w:name w:val="toc 2"/>
    <w:basedOn w:val="1"/>
    <w:next w:val="1"/>
    <w:qFormat/>
    <w:uiPriority w:val="39"/>
    <w:pPr>
      <w:tabs>
        <w:tab w:val="clear" w:pos="426"/>
      </w:tabs>
      <w:adjustRightInd/>
      <w:snapToGrid/>
      <w:spacing w:line="300" w:lineRule="auto"/>
      <w:ind w:left="50" w:leftChars="50"/>
    </w:pPr>
    <w:rPr>
      <w:smallCaps/>
      <w:sz w:val="28"/>
    </w:rPr>
  </w:style>
  <w:style w:type="paragraph" w:styleId="37">
    <w:name w:val="toc 9"/>
    <w:basedOn w:val="1"/>
    <w:next w:val="1"/>
    <w:qFormat/>
    <w:uiPriority w:val="0"/>
    <w:pPr>
      <w:ind w:left="1680"/>
      <w:jc w:val="left"/>
    </w:pPr>
    <w:rPr>
      <w:szCs w:val="21"/>
    </w:rPr>
  </w:style>
  <w:style w:type="paragraph" w:styleId="38">
    <w:name w:val="Body Text 2"/>
    <w:basedOn w:val="1"/>
    <w:link w:val="273"/>
    <w:qFormat/>
    <w:uiPriority w:val="0"/>
    <w:rPr>
      <w:rFonts w:ascii="Times New Roman" w:hAnsi="Times New Roman" w:cs="Times New Roman"/>
      <w:kern w:val="2"/>
      <w:sz w:val="24"/>
    </w:rPr>
  </w:style>
  <w:style w:type="paragraph" w:styleId="39">
    <w:name w:val="HTML Preformatted"/>
    <w:basedOn w:val="1"/>
    <w:link w:val="27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s="Times New Roman"/>
      <w:color w:val="000000"/>
      <w:sz w:val="20"/>
      <w:szCs w:val="20"/>
    </w:rPr>
  </w:style>
  <w:style w:type="paragraph" w:styleId="40">
    <w:name w:val="Normal (Web)"/>
    <w:basedOn w:val="1"/>
    <w:qFormat/>
    <w:uiPriority w:val="0"/>
    <w:rPr>
      <w:sz w:val="24"/>
    </w:rPr>
  </w:style>
  <w:style w:type="paragraph" w:styleId="41">
    <w:name w:val="index 1"/>
    <w:basedOn w:val="1"/>
    <w:next w:val="1"/>
    <w:qFormat/>
    <w:uiPriority w:val="99"/>
    <w:rPr>
      <w:b/>
      <w:color w:val="0000FF"/>
      <w:sz w:val="24"/>
    </w:rPr>
  </w:style>
  <w:style w:type="paragraph" w:styleId="42">
    <w:name w:val="Title"/>
    <w:basedOn w:val="1"/>
    <w:link w:val="136"/>
    <w:qFormat/>
    <w:uiPriority w:val="0"/>
    <w:pPr>
      <w:spacing w:before="240" w:after="60"/>
      <w:jc w:val="center"/>
      <w:outlineLvl w:val="0"/>
    </w:pPr>
    <w:rPr>
      <w:rFonts w:ascii="Arial" w:hAnsi="Arial" w:cs="Times New Roman"/>
      <w:b/>
      <w:bCs/>
      <w:kern w:val="2"/>
      <w:sz w:val="36"/>
      <w:szCs w:val="32"/>
    </w:rPr>
  </w:style>
  <w:style w:type="paragraph" w:styleId="43">
    <w:name w:val="annotation subject"/>
    <w:basedOn w:val="18"/>
    <w:next w:val="18"/>
    <w:link w:val="251"/>
    <w:qFormat/>
    <w:uiPriority w:val="0"/>
    <w:pPr>
      <w:autoSpaceDE/>
      <w:autoSpaceDN/>
      <w:adjustRightInd/>
      <w:textAlignment w:val="auto"/>
    </w:pPr>
    <w:rPr>
      <w:rFonts w:ascii="Times New Roman"/>
      <w:b/>
      <w:bCs/>
      <w:kern w:val="2"/>
      <w:sz w:val="21"/>
      <w:szCs w:val="24"/>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6">
    <w:name w:val="Table Theme"/>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qFormat/>
    <w:uiPriority w:val="0"/>
    <w:rPr>
      <w:b/>
      <w:bCs/>
    </w:rPr>
  </w:style>
  <w:style w:type="character" w:styleId="49">
    <w:name w:val="page number"/>
    <w:basedOn w:val="47"/>
    <w:qFormat/>
    <w:uiPriority w:val="0"/>
  </w:style>
  <w:style w:type="character" w:styleId="50">
    <w:name w:val="FollowedHyperlink"/>
    <w:qFormat/>
    <w:uiPriority w:val="0"/>
    <w:rPr>
      <w:color w:val="800080"/>
      <w:u w:val="single"/>
    </w:rPr>
  </w:style>
  <w:style w:type="character" w:styleId="51">
    <w:name w:val="Emphasis"/>
    <w:qFormat/>
    <w:uiPriority w:val="0"/>
    <w:rPr>
      <w:i/>
      <w:iCs/>
    </w:rPr>
  </w:style>
  <w:style w:type="character" w:styleId="52">
    <w:name w:val="Hyperlink"/>
    <w:qFormat/>
    <w:uiPriority w:val="99"/>
    <w:rPr>
      <w:color w:val="0000FF"/>
      <w:u w:val="single"/>
    </w:rPr>
  </w:style>
  <w:style w:type="character" w:styleId="53">
    <w:name w:val="annotation reference"/>
    <w:qFormat/>
    <w:uiPriority w:val="0"/>
    <w:rPr>
      <w:sz w:val="21"/>
      <w:szCs w:val="21"/>
    </w:rPr>
  </w:style>
  <w:style w:type="character" w:customStyle="1" w:styleId="54">
    <w:name w:val="标题 4 Char"/>
    <w:link w:val="4"/>
    <w:qFormat/>
    <w:uiPriority w:val="0"/>
    <w:rPr>
      <w:rFonts w:ascii="Arial" w:hAnsi="Arial" w:eastAsia="黑体"/>
      <w:b/>
      <w:bCs/>
      <w:kern w:val="2"/>
      <w:sz w:val="28"/>
      <w:szCs w:val="28"/>
      <w:lang w:val="en-US" w:eastAsia="zh-CN" w:bidi="ar-SA"/>
    </w:rPr>
  </w:style>
  <w:style w:type="paragraph" w:customStyle="1" w:styleId="55">
    <w:name w:val="Char"/>
    <w:basedOn w:val="1"/>
    <w:qFormat/>
    <w:uiPriority w:val="0"/>
    <w:pPr>
      <w:spacing w:after="160" w:line="240" w:lineRule="exact"/>
      <w:jc w:val="left"/>
    </w:pPr>
    <w:rPr>
      <w:rFonts w:ascii="Verdana" w:hAnsi="Verdana" w:eastAsia="仿宋_GB2312"/>
      <w:sz w:val="24"/>
      <w:szCs w:val="20"/>
      <w:lang w:eastAsia="en-US"/>
    </w:rPr>
  </w:style>
  <w:style w:type="character" w:customStyle="1" w:styleId="56">
    <w:name w:val="标题 3 Char1"/>
    <w:link w:val="3"/>
    <w:qFormat/>
    <w:uiPriority w:val="0"/>
    <w:rPr>
      <w:rFonts w:ascii="宋体" w:hAnsi="宋体"/>
      <w:b/>
      <w:bCs/>
      <w:kern w:val="2"/>
      <w:sz w:val="24"/>
      <w:szCs w:val="32"/>
      <w:shd w:val="clear" w:color="auto" w:fill="FFFFFF"/>
    </w:rPr>
  </w:style>
  <w:style w:type="character" w:customStyle="1" w:styleId="57">
    <w:name w:val="标题 1 Char"/>
    <w:link w:val="2"/>
    <w:qFormat/>
    <w:uiPriority w:val="0"/>
    <w:rPr>
      <w:rFonts w:ascii="宋体" w:hAnsi="宋体" w:eastAsia="黑体"/>
      <w:b/>
      <w:bCs/>
      <w:kern w:val="44"/>
      <w:sz w:val="28"/>
      <w:szCs w:val="28"/>
      <w:lang w:val="en-US" w:eastAsia="zh-CN" w:bidi="ar-SA"/>
    </w:rPr>
  </w:style>
  <w:style w:type="character" w:customStyle="1" w:styleId="58">
    <w:name w:val="正文缩进 Char"/>
    <w:link w:val="7"/>
    <w:qFormat/>
    <w:uiPriority w:val="0"/>
    <w:rPr>
      <w:rFonts w:eastAsia="宋体"/>
      <w:kern w:val="2"/>
      <w:sz w:val="21"/>
      <w:lang w:val="en-US" w:eastAsia="zh-CN" w:bidi="ar-SA"/>
    </w:rPr>
  </w:style>
  <w:style w:type="character" w:customStyle="1" w:styleId="59">
    <w:name w:val="标题 3 Char"/>
    <w:qFormat/>
    <w:uiPriority w:val="0"/>
    <w:rPr>
      <w:rFonts w:ascii="黑体" w:eastAsia="黑体"/>
      <w:bCs/>
      <w:sz w:val="30"/>
    </w:rPr>
  </w:style>
  <w:style w:type="paragraph" w:customStyle="1" w:styleId="60">
    <w:name w:val="样式41"/>
    <w:basedOn w:val="1"/>
    <w:qFormat/>
    <w:uiPriority w:val="0"/>
    <w:pPr>
      <w:tabs>
        <w:tab w:val="left" w:pos="945"/>
        <w:tab w:val="left" w:pos="2040"/>
      </w:tabs>
      <w:ind w:left="2040" w:leftChars="800" w:hanging="360" w:hangingChars="200"/>
    </w:pPr>
    <w:rPr>
      <w:b/>
      <w:color w:val="000000"/>
      <w:sz w:val="24"/>
      <w:szCs w:val="20"/>
    </w:rPr>
  </w:style>
  <w:style w:type="paragraph" w:customStyle="1" w:styleId="61">
    <w:name w:val="图"/>
    <w:basedOn w:val="1"/>
    <w:qFormat/>
    <w:uiPriority w:val="0"/>
    <w:pPr>
      <w:keepNext/>
      <w:spacing w:before="60" w:after="60" w:line="300" w:lineRule="auto"/>
      <w:jc w:val="center"/>
    </w:pPr>
    <w:rPr>
      <w:spacing w:val="20"/>
      <w:sz w:val="24"/>
      <w:szCs w:val="20"/>
    </w:rPr>
  </w:style>
  <w:style w:type="paragraph" w:customStyle="1" w:styleId="62">
    <w:name w:val="文档正文"/>
    <w:basedOn w:val="1"/>
    <w:qFormat/>
    <w:uiPriority w:val="0"/>
    <w:pPr>
      <w:spacing w:line="480" w:lineRule="atLeast"/>
      <w:ind w:firstLine="567" w:firstLineChars="200"/>
      <w:textAlignment w:val="baseline"/>
    </w:pPr>
    <w:rPr>
      <w:rFonts w:ascii="长城仿宋"/>
      <w:szCs w:val="20"/>
    </w:rPr>
  </w:style>
  <w:style w:type="paragraph" w:customStyle="1" w:styleId="63">
    <w:name w:val="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64">
    <w:name w:val="Char1"/>
    <w:basedOn w:val="1"/>
    <w:qFormat/>
    <w:uiPriority w:val="0"/>
    <w:pPr>
      <w:spacing w:after="160" w:line="240" w:lineRule="exact"/>
      <w:jc w:val="left"/>
    </w:pPr>
    <w:rPr>
      <w:rFonts w:ascii="Verdana" w:hAnsi="Verdana" w:eastAsia="仿宋_GB2312"/>
      <w:sz w:val="24"/>
      <w:szCs w:val="20"/>
      <w:lang w:eastAsia="en-US"/>
    </w:rPr>
  </w:style>
  <w:style w:type="paragraph" w:customStyle="1" w:styleId="65">
    <w:name w:val="Char Char Char Char1"/>
    <w:basedOn w:val="1"/>
    <w:qFormat/>
    <w:uiPriority w:val="0"/>
    <w:pPr>
      <w:spacing w:after="160" w:line="240" w:lineRule="exact"/>
      <w:jc w:val="left"/>
    </w:pPr>
    <w:rPr>
      <w:rFonts w:ascii="Verdana" w:hAnsi="Verdana" w:eastAsia="仿宋_GB2312"/>
      <w:sz w:val="24"/>
      <w:szCs w:val="20"/>
      <w:lang w:eastAsia="en-US"/>
    </w:rPr>
  </w:style>
  <w:style w:type="paragraph" w:customStyle="1" w:styleId="66">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7">
    <w:name w:val="自定义正文"/>
    <w:basedOn w:val="1"/>
    <w:qFormat/>
    <w:uiPriority w:val="0"/>
    <w:pPr>
      <w:spacing w:afterLines="50"/>
      <w:ind w:left="600" w:leftChars="600"/>
    </w:pPr>
  </w:style>
  <w:style w:type="paragraph" w:customStyle="1" w:styleId="68">
    <w:name w:val="Char Char Char Char Char"/>
    <w:basedOn w:val="1"/>
    <w:qFormat/>
    <w:uiPriority w:val="0"/>
    <w:rPr>
      <w:rFonts w:ascii="Tahoma" w:hAnsi="Tahoma"/>
      <w:sz w:val="24"/>
      <w:szCs w:val="20"/>
    </w:rPr>
  </w:style>
  <w:style w:type="paragraph" w:customStyle="1" w:styleId="69">
    <w:name w:val="小标题 1"/>
    <w:basedOn w:val="1"/>
    <w:qFormat/>
    <w:uiPriority w:val="0"/>
    <w:pPr>
      <w:autoSpaceDE w:val="0"/>
      <w:autoSpaceDN w:val="0"/>
      <w:spacing w:line="360" w:lineRule="atLeast"/>
    </w:pPr>
    <w:rPr>
      <w:rFonts w:ascii="文鼎粗黑" w:eastAsia="文鼎粗黑"/>
      <w:sz w:val="22"/>
      <w:szCs w:val="20"/>
    </w:rPr>
  </w:style>
  <w:style w:type="paragraph" w:customStyle="1" w:styleId="70">
    <w:name w:val="Char Char"/>
    <w:basedOn w:val="1"/>
    <w:qFormat/>
    <w:uiPriority w:val="0"/>
    <w:rPr>
      <w:rFonts w:ascii="Tahoma" w:hAnsi="Tahoma"/>
      <w:sz w:val="24"/>
      <w:szCs w:val="20"/>
    </w:rPr>
  </w:style>
  <w:style w:type="paragraph" w:customStyle="1" w:styleId="71">
    <w:name w:val="È±Ê¡ÎÄ±¾"/>
    <w:basedOn w:val="1"/>
    <w:qFormat/>
    <w:uiPriority w:val="0"/>
    <w:pPr>
      <w:overflowPunct w:val="0"/>
      <w:autoSpaceDE w:val="0"/>
      <w:autoSpaceDN w:val="0"/>
      <w:jc w:val="left"/>
      <w:textAlignment w:val="baseline"/>
    </w:pPr>
    <w:rPr>
      <w:sz w:val="24"/>
      <w:szCs w:val="20"/>
    </w:rPr>
  </w:style>
  <w:style w:type="character" w:customStyle="1" w:styleId="72">
    <w:name w:val="批注文字 Char1"/>
    <w:link w:val="18"/>
    <w:qFormat/>
    <w:uiPriority w:val="0"/>
    <w:rPr>
      <w:rFonts w:ascii="宋体" w:eastAsia="宋体"/>
      <w:sz w:val="34"/>
      <w:lang w:val="en-US" w:eastAsia="zh-CN" w:bidi="ar-SA"/>
    </w:rPr>
  </w:style>
  <w:style w:type="character" w:customStyle="1" w:styleId="73">
    <w:name w:val="纯文本 Char"/>
    <w:link w:val="24"/>
    <w:qFormat/>
    <w:uiPriority w:val="0"/>
    <w:rPr>
      <w:rFonts w:ascii="宋体" w:hAnsi="Courier New"/>
      <w:kern w:val="2"/>
      <w:sz w:val="21"/>
    </w:rPr>
  </w:style>
  <w:style w:type="character" w:customStyle="1" w:styleId="74">
    <w:name w:val="apple-converted-space"/>
    <w:basedOn w:val="47"/>
    <w:qFormat/>
    <w:uiPriority w:val="0"/>
  </w:style>
  <w:style w:type="paragraph" w:customStyle="1" w:styleId="75">
    <w:name w:val="TOC 标题1"/>
    <w:basedOn w:val="2"/>
    <w:next w:val="1"/>
    <w:qFormat/>
    <w:uiPriority w:val="39"/>
    <w:pPr>
      <w:spacing w:before="480" w:after="0" w:line="276" w:lineRule="auto"/>
      <w:jc w:val="left"/>
      <w:outlineLvl w:val="9"/>
    </w:pPr>
    <w:rPr>
      <w:rFonts w:ascii="Cambria" w:hAnsi="Cambria" w:eastAsia="宋体"/>
      <w:color w:val="365F91"/>
      <w:kern w:val="0"/>
    </w:rPr>
  </w:style>
  <w:style w:type="character" w:customStyle="1" w:styleId="76">
    <w:name w:val="副标题 Char"/>
    <w:link w:val="33"/>
    <w:qFormat/>
    <w:uiPriority w:val="0"/>
    <w:rPr>
      <w:rFonts w:ascii="Cambria" w:hAnsi="Cambria" w:cs="Times New Roman"/>
      <w:b/>
      <w:bCs/>
      <w:kern w:val="28"/>
      <w:sz w:val="28"/>
      <w:szCs w:val="32"/>
    </w:rPr>
  </w:style>
  <w:style w:type="paragraph" w:customStyle="1" w:styleId="77">
    <w:name w:val="Char Char Char"/>
    <w:basedOn w:val="1"/>
    <w:qFormat/>
    <w:uiPriority w:val="0"/>
    <w:rPr>
      <w:rFonts w:ascii="Tahoma" w:hAnsi="Tahoma"/>
      <w:sz w:val="24"/>
      <w:szCs w:val="20"/>
    </w:rPr>
  </w:style>
  <w:style w:type="paragraph" w:customStyle="1" w:styleId="78">
    <w:name w:val="列出段落1"/>
    <w:basedOn w:val="1"/>
    <w:link w:val="89"/>
    <w:qFormat/>
    <w:uiPriority w:val="0"/>
    <w:pPr>
      <w:ind w:firstLine="420" w:firstLineChars="200"/>
    </w:pPr>
    <w:rPr>
      <w:rFonts w:ascii="Times New Roman" w:hAnsi="Times New Roman" w:cs="Times New Roman"/>
      <w:kern w:val="2"/>
    </w:rPr>
  </w:style>
  <w:style w:type="character" w:customStyle="1" w:styleId="79">
    <w:name w:val="页眉 Char"/>
    <w:link w:val="30"/>
    <w:qFormat/>
    <w:uiPriority w:val="99"/>
    <w:rPr>
      <w:kern w:val="2"/>
      <w:sz w:val="18"/>
      <w:szCs w:val="18"/>
    </w:rPr>
  </w:style>
  <w:style w:type="paragraph" w:customStyle="1" w:styleId="80">
    <w:name w:val="Default"/>
    <w:link w:val="217"/>
    <w:qFormat/>
    <w:uiPriority w:val="0"/>
    <w:pPr>
      <w:widowControl w:val="0"/>
      <w:autoSpaceDE w:val="0"/>
      <w:autoSpaceDN w:val="0"/>
      <w:adjustRightInd w:val="0"/>
      <w:spacing w:line="360" w:lineRule="auto"/>
      <w:jc w:val="both"/>
    </w:pPr>
    <w:rPr>
      <w:rFonts w:ascii="宋体" w:hAnsi="Calibri" w:eastAsia="宋体" w:cs="Times New Roman"/>
      <w:color w:val="000000"/>
      <w:sz w:val="24"/>
      <w:szCs w:val="24"/>
      <w:lang w:val="en-US" w:eastAsia="zh-CN" w:bidi="ar-SA"/>
    </w:rPr>
  </w:style>
  <w:style w:type="paragraph" w:customStyle="1" w:styleId="81">
    <w:name w:val="主题"/>
    <w:basedOn w:val="1"/>
    <w:qFormat/>
    <w:uiPriority w:val="0"/>
  </w:style>
  <w:style w:type="paragraph" w:customStyle="1" w:styleId="82">
    <w:name w:val="默认段落字体 Para Char Char Char Char Char Char Char Char Char3 Char Char Char Char"/>
    <w:basedOn w:val="16"/>
    <w:qFormat/>
    <w:uiPriority w:val="0"/>
    <w:pPr>
      <w:spacing w:line="436" w:lineRule="exact"/>
      <w:ind w:left="357"/>
      <w:jc w:val="left"/>
      <w:outlineLvl w:val="3"/>
    </w:pPr>
    <w:rPr>
      <w:rFonts w:ascii="Tahoma" w:hAnsi="Tahoma"/>
      <w:b/>
      <w:sz w:val="24"/>
    </w:rPr>
  </w:style>
  <w:style w:type="paragraph" w:customStyle="1" w:styleId="83">
    <w:name w:val="目次、标准名称标题"/>
    <w:basedOn w:val="1"/>
    <w:next w:val="1"/>
    <w:qFormat/>
    <w:uiPriority w:val="0"/>
    <w:pPr>
      <w:shd w:val="clear" w:color="FFFFFF" w:fill="FFFFFF"/>
      <w:spacing w:before="640" w:after="560" w:line="460" w:lineRule="exact"/>
      <w:jc w:val="center"/>
      <w:outlineLvl w:val="0"/>
    </w:pPr>
    <w:rPr>
      <w:rFonts w:ascii="黑体" w:eastAsia="黑体"/>
      <w:sz w:val="32"/>
      <w:szCs w:val="20"/>
    </w:rPr>
  </w:style>
  <w:style w:type="character" w:customStyle="1" w:styleId="84">
    <w:name w:val="日期 Char"/>
    <w:link w:val="26"/>
    <w:qFormat/>
    <w:uiPriority w:val="0"/>
    <w:rPr>
      <w:rFonts w:ascii="宋体" w:hAnsi="Courier New"/>
      <w:kern w:val="2"/>
      <w:sz w:val="32"/>
    </w:rPr>
  </w:style>
  <w:style w:type="paragraph" w:customStyle="1" w:styleId="85">
    <w:name w:val="表1黑体居中"/>
    <w:basedOn w:val="1"/>
    <w:qFormat/>
    <w:uiPriority w:val="0"/>
    <w:pPr>
      <w:ind w:firstLine="435"/>
      <w:jc w:val="center"/>
      <w:textAlignment w:val="baseline"/>
    </w:pPr>
    <w:rPr>
      <w:rFonts w:ascii="黑体" w:eastAsia="黑体"/>
      <w:szCs w:val="21"/>
    </w:rPr>
  </w:style>
  <w:style w:type="paragraph" w:customStyle="1" w:styleId="86">
    <w:name w:val="MaoC2"/>
    <w:basedOn w:val="1"/>
    <w:qFormat/>
    <w:uiPriority w:val="0"/>
    <w:pPr>
      <w:numPr>
        <w:ilvl w:val="1"/>
        <w:numId w:val="2"/>
      </w:numPr>
      <w:spacing w:line="480" w:lineRule="auto"/>
      <w:outlineLvl w:val="1"/>
    </w:pPr>
    <w:rPr>
      <w:rFonts w:ascii="黑体" w:eastAsia="黑体"/>
      <w:szCs w:val="20"/>
    </w:rPr>
  </w:style>
  <w:style w:type="paragraph" w:customStyle="1" w:styleId="87">
    <w:name w:val="图目录4"/>
    <w:basedOn w:val="1"/>
    <w:next w:val="1"/>
    <w:qFormat/>
    <w:uiPriority w:val="0"/>
    <w:pPr>
      <w:numPr>
        <w:ilvl w:val="0"/>
        <w:numId w:val="3"/>
      </w:numPr>
      <w:ind w:hanging="448"/>
      <w:jc w:val="center"/>
      <w:textAlignment w:val="baseline"/>
    </w:pPr>
    <w:rPr>
      <w:szCs w:val="20"/>
    </w:rPr>
  </w:style>
  <w:style w:type="paragraph" w:customStyle="1" w:styleId="88">
    <w:name w:val="段"/>
    <w:qFormat/>
    <w:uiPriority w:val="0"/>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character" w:customStyle="1" w:styleId="89">
    <w:name w:val="列出段落 Char"/>
    <w:link w:val="78"/>
    <w:qFormat/>
    <w:uiPriority w:val="0"/>
    <w:rPr>
      <w:kern w:val="2"/>
      <w:sz w:val="21"/>
      <w:szCs w:val="24"/>
    </w:rPr>
  </w:style>
  <w:style w:type="table" w:customStyle="1" w:styleId="90">
    <w:name w:val="Table Normal"/>
    <w:qFormat/>
    <w:uiPriority w:val="0"/>
    <w:pPr>
      <w:spacing w:line="360" w:lineRule="auto"/>
      <w:jc w:val="both"/>
    </w:pPr>
    <w:tblPr>
      <w:tblCellMar>
        <w:top w:w="0" w:type="dxa"/>
        <w:left w:w="0" w:type="dxa"/>
        <w:bottom w:w="0" w:type="dxa"/>
        <w:right w:w="0" w:type="dxa"/>
      </w:tblCellMar>
    </w:tblPr>
  </w:style>
  <w:style w:type="paragraph" w:customStyle="1" w:styleId="91">
    <w:name w:val="样式1"/>
    <w:basedOn w:val="1"/>
    <w:qFormat/>
    <w:uiPriority w:val="0"/>
    <w:pPr>
      <w:keepNext/>
      <w:keepLines/>
      <w:numPr>
        <w:ilvl w:val="0"/>
        <w:numId w:val="4"/>
      </w:numPr>
      <w:spacing w:before="340" w:after="330"/>
      <w:outlineLvl w:val="0"/>
    </w:pPr>
    <w:rPr>
      <w:b/>
      <w:kern w:val="44"/>
      <w:sz w:val="44"/>
      <w:szCs w:val="20"/>
    </w:rPr>
  </w:style>
  <w:style w:type="paragraph" w:customStyle="1" w:styleId="92">
    <w:name w:val="参数内容"/>
    <w:basedOn w:val="78"/>
    <w:qFormat/>
    <w:uiPriority w:val="0"/>
    <w:pPr>
      <w:numPr>
        <w:ilvl w:val="0"/>
        <w:numId w:val="5"/>
      </w:numPr>
      <w:ind w:firstLine="0" w:firstLineChars="0"/>
    </w:pPr>
    <w:rPr>
      <w:szCs w:val="18"/>
    </w:rPr>
  </w:style>
  <w:style w:type="paragraph" w:customStyle="1" w:styleId="93">
    <w:name w:val="标准正文"/>
    <w:basedOn w:val="21"/>
    <w:link w:val="94"/>
    <w:qFormat/>
    <w:uiPriority w:val="0"/>
    <w:pPr>
      <w:spacing w:before="60" w:after="60"/>
      <w:ind w:firstLine="482" w:firstLineChars="0"/>
      <w:jc w:val="left"/>
    </w:pPr>
    <w:rPr>
      <w:rFonts w:ascii="宋体" w:hAnsi="宋体"/>
      <w:kern w:val="0"/>
      <w:sz w:val="24"/>
      <w:szCs w:val="20"/>
    </w:rPr>
  </w:style>
  <w:style w:type="character" w:customStyle="1" w:styleId="94">
    <w:name w:val="标准正文 Char"/>
    <w:link w:val="93"/>
    <w:qFormat/>
    <w:uiPriority w:val="0"/>
    <w:rPr>
      <w:rFonts w:ascii="宋体" w:hAnsi="宋体" w:cs="宋体"/>
      <w:sz w:val="24"/>
    </w:rPr>
  </w:style>
  <w:style w:type="paragraph" w:customStyle="1" w:styleId="95">
    <w:name w:val="下级参数内容"/>
    <w:basedOn w:val="78"/>
    <w:qFormat/>
    <w:uiPriority w:val="0"/>
    <w:pPr>
      <w:numPr>
        <w:ilvl w:val="0"/>
        <w:numId w:val="6"/>
      </w:numPr>
      <w:ind w:left="1134" w:firstLine="0" w:firstLineChars="0"/>
    </w:pPr>
    <w:rPr>
      <w:rFonts w:ascii="仿宋" w:hAnsi="仿宋"/>
    </w:rPr>
  </w:style>
  <w:style w:type="paragraph" w:customStyle="1" w:styleId="96">
    <w:name w:val="Char Char Char1"/>
    <w:basedOn w:val="1"/>
    <w:qFormat/>
    <w:uiPriority w:val="0"/>
    <w:rPr>
      <w:rFonts w:ascii="Tahoma" w:hAnsi="Tahoma"/>
      <w:sz w:val="24"/>
      <w:szCs w:val="20"/>
    </w:rPr>
  </w:style>
  <w:style w:type="paragraph" w:customStyle="1" w:styleId="97">
    <w:name w:val="Char Char10 Char Char"/>
    <w:basedOn w:val="16"/>
    <w:qFormat/>
    <w:uiPriority w:val="0"/>
    <w:rPr>
      <w:rFonts w:ascii="Tahoma" w:hAnsi="Tahoma"/>
      <w:sz w:val="24"/>
    </w:rPr>
  </w:style>
  <w:style w:type="paragraph" w:customStyle="1" w:styleId="98">
    <w:name w:val="_Style 95"/>
    <w:qFormat/>
    <w:uiPriority w:val="99"/>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99">
    <w:name w:val="font5"/>
    <w:basedOn w:val="1"/>
    <w:qFormat/>
    <w:uiPriority w:val="0"/>
    <w:pPr>
      <w:spacing w:before="100" w:beforeAutospacing="1" w:after="100" w:afterAutospacing="1"/>
      <w:jc w:val="left"/>
    </w:pPr>
    <w:rPr>
      <w:sz w:val="18"/>
      <w:szCs w:val="18"/>
    </w:rPr>
  </w:style>
  <w:style w:type="paragraph" w:customStyle="1" w:styleId="100">
    <w:name w:val="xl65"/>
    <w:basedOn w:val="1"/>
    <w:qFormat/>
    <w:uiPriority w:val="0"/>
    <w:pPr>
      <w:pBdr>
        <w:top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b/>
      <w:bCs/>
      <w:sz w:val="24"/>
    </w:rPr>
  </w:style>
  <w:style w:type="paragraph" w:customStyle="1" w:styleId="101">
    <w:name w:val="xl66"/>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2">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color w:val="000000"/>
      <w:sz w:val="24"/>
    </w:rPr>
  </w:style>
  <w:style w:type="paragraph" w:customStyle="1" w:styleId="103">
    <w:name w:val="xl68"/>
    <w:basedOn w:val="1"/>
    <w:qFormat/>
    <w:uiPriority w:val="0"/>
    <w:pPr>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textAlignment w:val="center"/>
    </w:pPr>
    <w:rPr>
      <w:b/>
      <w:bCs/>
      <w:sz w:val="24"/>
    </w:rPr>
  </w:style>
  <w:style w:type="paragraph" w:customStyle="1" w:styleId="104">
    <w:name w:val="xl69"/>
    <w:basedOn w:val="1"/>
    <w:qFormat/>
    <w:uiPriority w:val="0"/>
    <w:pPr>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5">
    <w:name w:val="样式 标题 3style3H3h33rd levelLevel 3 Headlevel_3PIM 33l3C..."/>
    <w:basedOn w:val="3"/>
    <w:qFormat/>
    <w:uiPriority w:val="0"/>
    <w:pPr>
      <w:tabs>
        <w:tab w:val="left" w:pos="851"/>
      </w:tabs>
      <w:spacing w:beforeLines="50" w:afterLines="50" w:line="415" w:lineRule="auto"/>
      <w:ind w:left="-4" w:leftChars="-2" w:right="220" w:firstLine="571" w:firstLineChars="203"/>
      <w:jc w:val="left"/>
    </w:pPr>
    <w:rPr>
      <w:rFonts w:ascii="Times New Roman" w:hAnsi="Times New Roman" w:cs="宋体"/>
      <w:bCs w:val="0"/>
      <w:color w:val="000000"/>
      <w:szCs w:val="20"/>
    </w:rPr>
  </w:style>
  <w:style w:type="paragraph" w:customStyle="1" w:styleId="106">
    <w:name w:val="样式2"/>
    <w:basedOn w:val="2"/>
    <w:qFormat/>
    <w:uiPriority w:val="0"/>
    <w:pPr>
      <w:keepNext/>
      <w:keepLines/>
      <w:spacing w:before="0" w:after="0" w:line="578" w:lineRule="auto"/>
      <w:ind w:left="1200" w:hanging="420"/>
      <w:jc w:val="both"/>
    </w:pPr>
    <w:rPr>
      <w:rFonts w:eastAsia="宋体"/>
      <w:szCs w:val="44"/>
    </w:rPr>
  </w:style>
  <w:style w:type="paragraph" w:customStyle="1" w:styleId="107">
    <w:name w:val="样式3"/>
    <w:basedOn w:val="1"/>
    <w:qFormat/>
    <w:uiPriority w:val="0"/>
    <w:pPr>
      <w:ind w:left="1620" w:hanging="420"/>
      <w:outlineLvl w:val="2"/>
    </w:pPr>
    <w:rPr>
      <w:b/>
    </w:rPr>
  </w:style>
  <w:style w:type="paragraph" w:customStyle="1" w:styleId="108">
    <w:name w:val="样式4"/>
    <w:basedOn w:val="78"/>
    <w:qFormat/>
    <w:uiPriority w:val="0"/>
    <w:pPr>
      <w:ind w:left="2040" w:firstLine="0" w:firstLineChars="0"/>
      <w:jc w:val="left"/>
      <w:outlineLvl w:val="3"/>
    </w:pPr>
    <w:rPr>
      <w:rFonts w:ascii="宋体" w:hAnsi="宋体"/>
    </w:rPr>
  </w:style>
  <w:style w:type="character" w:customStyle="1" w:styleId="109">
    <w:name w:val="页脚 Char"/>
    <w:link w:val="29"/>
    <w:qFormat/>
    <w:uiPriority w:val="99"/>
    <w:rPr>
      <w:kern w:val="2"/>
      <w:sz w:val="18"/>
      <w:szCs w:val="18"/>
    </w:rPr>
  </w:style>
  <w:style w:type="character" w:customStyle="1" w:styleId="110">
    <w:name w:val="批注框文本 Char"/>
    <w:link w:val="28"/>
    <w:qFormat/>
    <w:uiPriority w:val="0"/>
    <w:rPr>
      <w:kern w:val="2"/>
      <w:sz w:val="18"/>
      <w:szCs w:val="18"/>
    </w:rPr>
  </w:style>
  <w:style w:type="character" w:customStyle="1" w:styleId="111">
    <w:name w:val="文档结构图 Char"/>
    <w:link w:val="16"/>
    <w:qFormat/>
    <w:uiPriority w:val="0"/>
    <w:rPr>
      <w:kern w:val="2"/>
      <w:sz w:val="21"/>
      <w:szCs w:val="24"/>
      <w:shd w:val="clear" w:color="auto" w:fill="000080"/>
    </w:rPr>
  </w:style>
  <w:style w:type="paragraph" w:customStyle="1" w:styleId="112">
    <w:name w:val="p0"/>
    <w:basedOn w:val="1"/>
    <w:qFormat/>
    <w:uiPriority w:val="0"/>
    <w:rPr>
      <w:rFonts w:ascii="Calibri" w:hAnsi="Calibri"/>
      <w:szCs w:val="21"/>
    </w:rPr>
  </w:style>
  <w:style w:type="paragraph" w:customStyle="1" w:styleId="113">
    <w:name w:val="图标题"/>
    <w:basedOn w:val="1"/>
    <w:link w:val="117"/>
    <w:qFormat/>
    <w:uiPriority w:val="0"/>
    <w:pPr>
      <w:jc w:val="center"/>
    </w:pPr>
    <w:rPr>
      <w:rFonts w:cs="Times New Roman"/>
      <w:kern w:val="2"/>
    </w:rPr>
  </w:style>
  <w:style w:type="paragraph" w:customStyle="1" w:styleId="114">
    <w:name w:val="表标题"/>
    <w:basedOn w:val="1"/>
    <w:qFormat/>
    <w:uiPriority w:val="0"/>
    <w:pPr>
      <w:jc w:val="center"/>
    </w:pPr>
    <w:rPr>
      <w:rFonts w:eastAsia="黑体"/>
      <w:b/>
    </w:rPr>
  </w:style>
  <w:style w:type="paragraph" w:customStyle="1" w:styleId="115">
    <w:name w:val="正文-1级标题-1"/>
    <w:basedOn w:val="1"/>
    <w:next w:val="1"/>
    <w:qFormat/>
    <w:uiPriority w:val="0"/>
    <w:pPr>
      <w:keepNext/>
      <w:numPr>
        <w:ilvl w:val="0"/>
        <w:numId w:val="7"/>
      </w:numPr>
      <w:spacing w:beforeLines="30" w:afterLines="30"/>
      <w:ind w:firstLine="0"/>
    </w:pPr>
    <w:rPr>
      <w:b/>
      <w:sz w:val="24"/>
      <w:szCs w:val="28"/>
      <w:lang w:val="en-GB"/>
    </w:rPr>
  </w:style>
  <w:style w:type="paragraph" w:customStyle="1" w:styleId="116">
    <w:name w:val="正文-1级列表-(1)"/>
    <w:basedOn w:val="1"/>
    <w:qFormat/>
    <w:uiPriority w:val="0"/>
    <w:pPr>
      <w:numPr>
        <w:ilvl w:val="1"/>
        <w:numId w:val="7"/>
      </w:numPr>
      <w:ind w:firstLine="0"/>
    </w:pPr>
    <w:rPr>
      <w:sz w:val="24"/>
      <w:lang w:val="en-GB"/>
    </w:rPr>
  </w:style>
  <w:style w:type="character" w:customStyle="1" w:styleId="117">
    <w:name w:val="图标题 Char"/>
    <w:link w:val="113"/>
    <w:qFormat/>
    <w:uiPriority w:val="0"/>
    <w:rPr>
      <w:rFonts w:ascii="宋体" w:hAnsi="宋体"/>
      <w:kern w:val="2"/>
      <w:sz w:val="21"/>
      <w:szCs w:val="24"/>
    </w:rPr>
  </w:style>
  <w:style w:type="character" w:customStyle="1" w:styleId="118">
    <w:name w:val="标题 5 Char"/>
    <w:link w:val="6"/>
    <w:qFormat/>
    <w:uiPriority w:val="0"/>
    <w:rPr>
      <w:b/>
      <w:kern w:val="2"/>
      <w:sz w:val="24"/>
    </w:rPr>
  </w:style>
  <w:style w:type="character" w:customStyle="1" w:styleId="119">
    <w:name w:val="标题 6 Char"/>
    <w:link w:val="8"/>
    <w:qFormat/>
    <w:uiPriority w:val="0"/>
    <w:rPr>
      <w:rFonts w:ascii="Arial" w:hAnsi="Arial" w:eastAsia="黑体"/>
      <w:b/>
      <w:kern w:val="2"/>
      <w:sz w:val="24"/>
    </w:rPr>
  </w:style>
  <w:style w:type="character" w:customStyle="1" w:styleId="120">
    <w:name w:val="标题 7 Char"/>
    <w:link w:val="9"/>
    <w:qFormat/>
    <w:uiPriority w:val="0"/>
    <w:rPr>
      <w:b/>
      <w:kern w:val="2"/>
      <w:sz w:val="24"/>
    </w:rPr>
  </w:style>
  <w:style w:type="character" w:customStyle="1" w:styleId="121">
    <w:name w:val="标题 8 Char"/>
    <w:link w:val="10"/>
    <w:qFormat/>
    <w:uiPriority w:val="0"/>
    <w:rPr>
      <w:rFonts w:ascii="Arial" w:hAnsi="Arial" w:eastAsia="黑体"/>
      <w:kern w:val="2"/>
      <w:sz w:val="24"/>
    </w:rPr>
  </w:style>
  <w:style w:type="character" w:customStyle="1" w:styleId="122">
    <w:name w:val="标题 9 Char"/>
    <w:link w:val="11"/>
    <w:qFormat/>
    <w:uiPriority w:val="0"/>
    <w:rPr>
      <w:rFonts w:ascii="Arial" w:hAnsi="Arial" w:eastAsia="黑体"/>
      <w:kern w:val="2"/>
      <w:sz w:val="21"/>
    </w:rPr>
  </w:style>
  <w:style w:type="paragraph" w:customStyle="1" w:styleId="123">
    <w:name w:val="样式 标题 1 + 段前: 0.5 行 段后: 0.5 行"/>
    <w:basedOn w:val="2"/>
    <w:qFormat/>
    <w:uiPriority w:val="0"/>
    <w:pPr>
      <w:keepNext/>
      <w:keepLines/>
      <w:numPr>
        <w:ilvl w:val="0"/>
        <w:numId w:val="8"/>
      </w:numPr>
      <w:spacing w:beforeLines="50" w:afterLines="50" w:line="578" w:lineRule="auto"/>
      <w:ind w:left="0" w:firstLine="0"/>
      <w:jc w:val="both"/>
    </w:pPr>
    <w:rPr>
      <w:rFonts w:ascii="Times New Roman" w:hAnsi="Times New Roman" w:eastAsia="宋体" w:cs="宋体"/>
      <w:sz w:val="44"/>
      <w:szCs w:val="20"/>
    </w:rPr>
  </w:style>
  <w:style w:type="paragraph" w:customStyle="1" w:styleId="124">
    <w:name w:val="样式 标题 4 + 段前: 0.5 行 段后: 0.5 行"/>
    <w:basedOn w:val="4"/>
    <w:qFormat/>
    <w:uiPriority w:val="0"/>
    <w:pPr>
      <w:spacing w:beforeLines="50" w:afterLines="50" w:line="377" w:lineRule="auto"/>
      <w:ind w:left="2240"/>
      <w:jc w:val="left"/>
    </w:pPr>
    <w:rPr>
      <w:rFonts w:ascii="Cambria" w:hAnsi="Cambria" w:eastAsia="宋体" w:cs="宋体"/>
      <w:sz w:val="24"/>
      <w:szCs w:val="20"/>
    </w:rPr>
  </w:style>
  <w:style w:type="paragraph" w:customStyle="1" w:styleId="125">
    <w:name w:val="样式 标题 4 + 段前: 0.5 行 段后: 0.5 行1"/>
    <w:basedOn w:val="4"/>
    <w:qFormat/>
    <w:uiPriority w:val="0"/>
    <w:pPr>
      <w:spacing w:beforeLines="50" w:afterLines="50" w:line="377" w:lineRule="auto"/>
      <w:ind w:left="-2" w:leftChars="-1" w:firstLine="569" w:firstLineChars="236"/>
      <w:jc w:val="left"/>
    </w:pPr>
    <w:rPr>
      <w:rFonts w:ascii="Cambria" w:hAnsi="Cambria" w:eastAsia="宋体" w:cs="宋体"/>
      <w:sz w:val="24"/>
      <w:szCs w:val="20"/>
    </w:rPr>
  </w:style>
  <w:style w:type="paragraph" w:customStyle="1" w:styleId="126">
    <w:name w:val="￥正文"/>
    <w:basedOn w:val="1"/>
    <w:link w:val="127"/>
    <w:qFormat/>
    <w:uiPriority w:val="0"/>
    <w:pPr>
      <w:ind w:firstLine="200" w:firstLineChars="200"/>
    </w:pPr>
    <w:rPr>
      <w:rFonts w:ascii="Calibri" w:hAnsi="Calibri" w:cs="Times New Roman"/>
      <w:kern w:val="2"/>
      <w:sz w:val="24"/>
      <w:szCs w:val="20"/>
    </w:rPr>
  </w:style>
  <w:style w:type="character" w:customStyle="1" w:styleId="127">
    <w:name w:val="￥正文 Char"/>
    <w:link w:val="126"/>
    <w:qFormat/>
    <w:uiPriority w:val="0"/>
    <w:rPr>
      <w:rFonts w:ascii="Calibri" w:hAnsi="Calibri"/>
      <w:kern w:val="2"/>
      <w:sz w:val="24"/>
    </w:rPr>
  </w:style>
  <w:style w:type="paragraph" w:customStyle="1" w:styleId="128">
    <w:name w:val="样式 标题 4h4heading 4h41heading 41h42heading 42h411heading ..."/>
    <w:basedOn w:val="4"/>
    <w:qFormat/>
    <w:uiPriority w:val="0"/>
    <w:pPr>
      <w:spacing w:beforeLines="50" w:afterLines="50" w:line="377" w:lineRule="auto"/>
      <w:ind w:left="2240" w:right="220"/>
      <w:jc w:val="left"/>
    </w:pPr>
    <w:rPr>
      <w:rFonts w:ascii="Cambria" w:hAnsi="Cambria" w:eastAsia="宋体" w:cs="宋体"/>
      <w:sz w:val="24"/>
      <w:szCs w:val="20"/>
    </w:rPr>
  </w:style>
  <w:style w:type="paragraph" w:customStyle="1" w:styleId="129">
    <w:name w:val="!项目ALT+P"/>
    <w:basedOn w:val="1"/>
    <w:qFormat/>
    <w:uiPriority w:val="0"/>
    <w:pPr>
      <w:numPr>
        <w:ilvl w:val="0"/>
        <w:numId w:val="9"/>
      </w:numPr>
      <w:spacing w:line="320" w:lineRule="atLeast"/>
      <w:ind w:firstLine="0"/>
      <w:textAlignment w:val="baseline"/>
    </w:pPr>
    <w:rPr>
      <w:szCs w:val="21"/>
    </w:rPr>
  </w:style>
  <w:style w:type="paragraph" w:customStyle="1" w:styleId="130">
    <w:name w:val="样式 样式 (符号) 宋体 小四 行距: 1.5 倍行距 首行缩进:  1.5 字符 + 宋体 首行缩进:  2 字符"/>
    <w:basedOn w:val="1"/>
    <w:qFormat/>
    <w:uiPriority w:val="0"/>
    <w:pPr>
      <w:ind w:firstLine="480" w:firstLineChars="200"/>
    </w:pPr>
    <w:rPr>
      <w:sz w:val="24"/>
      <w:szCs w:val="20"/>
    </w:rPr>
  </w:style>
  <w:style w:type="paragraph" w:customStyle="1" w:styleId="131">
    <w:name w:val="正文内容"/>
    <w:basedOn w:val="1"/>
    <w:next w:val="16"/>
    <w:link w:val="132"/>
    <w:qFormat/>
    <w:uiPriority w:val="0"/>
    <w:rPr>
      <w:rFonts w:ascii="Times New Roman" w:hAnsi="Times New Roman" w:cs="Times New Roman"/>
      <w:sz w:val="20"/>
    </w:rPr>
  </w:style>
  <w:style w:type="character" w:customStyle="1" w:styleId="132">
    <w:name w:val="正文内容 Char"/>
    <w:link w:val="131"/>
    <w:qFormat/>
    <w:uiPriority w:val="0"/>
    <w:rPr>
      <w:szCs w:val="24"/>
    </w:rPr>
  </w:style>
  <w:style w:type="paragraph" w:customStyle="1" w:styleId="133">
    <w:name w:val="方案标题1"/>
    <w:basedOn w:val="42"/>
    <w:qFormat/>
    <w:uiPriority w:val="0"/>
    <w:pPr>
      <w:numPr>
        <w:ilvl w:val="0"/>
        <w:numId w:val="10"/>
      </w:numPr>
      <w:spacing w:beforeLines="50" w:afterLines="50"/>
      <w:ind w:firstLine="200" w:firstLineChars="200"/>
      <w:jc w:val="both"/>
    </w:pPr>
    <w:rPr>
      <w:color w:val="000000"/>
    </w:rPr>
  </w:style>
  <w:style w:type="paragraph" w:customStyle="1" w:styleId="134">
    <w:name w:val="方案标题2"/>
    <w:basedOn w:val="42"/>
    <w:qFormat/>
    <w:uiPriority w:val="0"/>
    <w:pPr>
      <w:numPr>
        <w:ilvl w:val="1"/>
        <w:numId w:val="10"/>
      </w:numPr>
      <w:spacing w:beforeLines="50" w:afterLines="50"/>
      <w:ind w:firstLine="200" w:firstLineChars="200"/>
      <w:jc w:val="left"/>
      <w:outlineLvl w:val="1"/>
    </w:pPr>
    <w:rPr>
      <w:rFonts w:eastAsia="仿宋_GB2312"/>
      <w:color w:val="000000"/>
      <w:sz w:val="30"/>
      <w:szCs w:val="30"/>
    </w:rPr>
  </w:style>
  <w:style w:type="paragraph" w:customStyle="1" w:styleId="135">
    <w:name w:val="方案标题3"/>
    <w:basedOn w:val="42"/>
    <w:qFormat/>
    <w:uiPriority w:val="0"/>
    <w:pPr>
      <w:numPr>
        <w:ilvl w:val="2"/>
        <w:numId w:val="10"/>
      </w:numPr>
      <w:spacing w:beforeLines="50" w:afterLines="50" w:line="440" w:lineRule="exact"/>
      <w:ind w:firstLine="200" w:firstLineChars="200"/>
      <w:jc w:val="left"/>
      <w:outlineLvl w:val="2"/>
    </w:pPr>
    <w:rPr>
      <w:rFonts w:ascii="黑体" w:eastAsia="黑体"/>
      <w:color w:val="000000"/>
      <w:sz w:val="28"/>
      <w:szCs w:val="24"/>
    </w:rPr>
  </w:style>
  <w:style w:type="character" w:customStyle="1" w:styleId="136">
    <w:name w:val="标题 Char"/>
    <w:link w:val="42"/>
    <w:qFormat/>
    <w:uiPriority w:val="0"/>
    <w:rPr>
      <w:rFonts w:ascii="Arial" w:hAnsi="Arial" w:cs="Arial"/>
      <w:b/>
      <w:bCs/>
      <w:kern w:val="2"/>
      <w:sz w:val="36"/>
      <w:szCs w:val="32"/>
    </w:rPr>
  </w:style>
  <w:style w:type="paragraph" w:customStyle="1" w:styleId="137">
    <w:name w:val="正文Land"/>
    <w:basedOn w:val="1"/>
    <w:qFormat/>
    <w:uiPriority w:val="0"/>
    <w:pPr>
      <w:spacing w:beforeLines="20" w:afterLines="50"/>
      <w:ind w:firstLine="200" w:firstLineChars="200"/>
    </w:pPr>
    <w:rPr>
      <w:color w:val="000000"/>
      <w:sz w:val="24"/>
    </w:rPr>
  </w:style>
  <w:style w:type="paragraph" w:customStyle="1" w:styleId="138">
    <w:name w:val="样式5"/>
    <w:basedOn w:val="1"/>
    <w:qFormat/>
    <w:uiPriority w:val="0"/>
    <w:pPr>
      <w:numPr>
        <w:ilvl w:val="0"/>
        <w:numId w:val="11"/>
      </w:numPr>
      <w:spacing w:beforeLines="50" w:afterLines="50"/>
      <w:ind w:firstLine="0"/>
    </w:pPr>
    <w:rPr>
      <w:rFonts w:eastAsia="仿宋_GB2312"/>
      <w:color w:val="000000"/>
      <w:sz w:val="24"/>
    </w:rPr>
  </w:style>
  <w:style w:type="paragraph" w:customStyle="1" w:styleId="139">
    <w:name w:val="font6"/>
    <w:basedOn w:val="1"/>
    <w:qFormat/>
    <w:uiPriority w:val="0"/>
    <w:pPr>
      <w:spacing w:beforeAutospacing="1" w:afterAutospacing="1"/>
      <w:jc w:val="left"/>
    </w:pPr>
    <w:rPr>
      <w:sz w:val="18"/>
      <w:szCs w:val="18"/>
    </w:rPr>
  </w:style>
  <w:style w:type="paragraph" w:customStyle="1" w:styleId="140">
    <w:name w:val="xl64"/>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41">
    <w:name w:val="xl70"/>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b/>
      <w:bCs/>
      <w:color w:val="000000"/>
      <w:sz w:val="24"/>
    </w:rPr>
  </w:style>
  <w:style w:type="paragraph" w:customStyle="1" w:styleId="142">
    <w:name w:val="xl71"/>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3">
    <w:name w:val="xl72"/>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textAlignment w:val="center"/>
    </w:pPr>
    <w:rPr>
      <w:color w:val="000000"/>
      <w:sz w:val="24"/>
    </w:rPr>
  </w:style>
  <w:style w:type="paragraph" w:customStyle="1" w:styleId="144">
    <w:name w:val="xl73"/>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5">
    <w:name w:val="xl74"/>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pPr>
    <w:rPr>
      <w:color w:val="000000"/>
      <w:sz w:val="24"/>
    </w:rPr>
  </w:style>
  <w:style w:type="paragraph" w:customStyle="1" w:styleId="146">
    <w:name w:val="xl75"/>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b/>
      <w:bCs/>
      <w:color w:val="000000"/>
      <w:sz w:val="24"/>
    </w:rPr>
  </w:style>
  <w:style w:type="paragraph" w:customStyle="1" w:styleId="147">
    <w:name w:val="xl76"/>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color w:val="000000"/>
      <w:sz w:val="24"/>
    </w:rPr>
  </w:style>
  <w:style w:type="paragraph" w:customStyle="1" w:styleId="148">
    <w:name w:val="xl77"/>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left"/>
      <w:textAlignment w:val="center"/>
    </w:pPr>
    <w:rPr>
      <w:color w:val="000000"/>
      <w:sz w:val="24"/>
    </w:rPr>
  </w:style>
  <w:style w:type="paragraph" w:customStyle="1" w:styleId="149">
    <w:name w:val="xl78"/>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b/>
      <w:bCs/>
      <w:color w:val="000000"/>
      <w:sz w:val="24"/>
    </w:rPr>
  </w:style>
  <w:style w:type="paragraph" w:customStyle="1" w:styleId="150">
    <w:name w:val="xl79"/>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1">
    <w:name w:val="xl80"/>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left"/>
      <w:textAlignment w:val="center"/>
    </w:pPr>
    <w:rPr>
      <w:color w:val="000000"/>
      <w:sz w:val="24"/>
    </w:rPr>
  </w:style>
  <w:style w:type="paragraph" w:customStyle="1" w:styleId="152">
    <w:name w:val="xl81"/>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3">
    <w:name w:val="xl82"/>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pPr>
    <w:rPr>
      <w:color w:val="000000"/>
      <w:sz w:val="24"/>
    </w:rPr>
  </w:style>
  <w:style w:type="paragraph" w:customStyle="1" w:styleId="154">
    <w:name w:val="xl83"/>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b/>
      <w:bCs/>
      <w:color w:val="000000"/>
      <w:sz w:val="24"/>
    </w:rPr>
  </w:style>
  <w:style w:type="paragraph" w:customStyle="1" w:styleId="155">
    <w:name w:val="xl84"/>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6">
    <w:name w:val="xl85"/>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7">
    <w:name w:val="xl86"/>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pPr>
    <w:rPr>
      <w:color w:val="000000"/>
      <w:sz w:val="24"/>
    </w:rPr>
  </w:style>
  <w:style w:type="paragraph" w:customStyle="1" w:styleId="158">
    <w:name w:val="xl87"/>
    <w:basedOn w:val="1"/>
    <w:qFormat/>
    <w:uiPriority w:val="0"/>
    <w:pPr>
      <w:spacing w:beforeAutospacing="1" w:afterAutospacing="1"/>
      <w:jc w:val="left"/>
    </w:pPr>
    <w:rPr>
      <w:sz w:val="24"/>
    </w:rPr>
  </w:style>
  <w:style w:type="paragraph" w:customStyle="1" w:styleId="159">
    <w:name w:val="xl8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b/>
      <w:bCs/>
      <w:color w:val="000000"/>
      <w:sz w:val="24"/>
    </w:rPr>
  </w:style>
  <w:style w:type="paragraph" w:customStyle="1" w:styleId="160">
    <w:name w:val="xl89"/>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61">
    <w:name w:val="Bulleted Items--Level 2"/>
    <w:basedOn w:val="1"/>
    <w:qFormat/>
    <w:uiPriority w:val="0"/>
    <w:pPr>
      <w:numPr>
        <w:ilvl w:val="0"/>
        <w:numId w:val="12"/>
      </w:numPr>
      <w:tabs>
        <w:tab w:val="clear" w:pos="360"/>
      </w:tabs>
      <w:spacing w:line="280" w:lineRule="exact"/>
      <w:ind w:left="2520" w:firstLine="0"/>
    </w:pPr>
    <w:rPr>
      <w:color w:val="000000"/>
      <w:sz w:val="22"/>
      <w:szCs w:val="20"/>
      <w:lang w:eastAsia="en-US"/>
    </w:rPr>
  </w:style>
  <w:style w:type="paragraph" w:customStyle="1" w:styleId="162">
    <w:name w:val="xl9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2"/>
      <w:szCs w:val="22"/>
    </w:rPr>
  </w:style>
  <w:style w:type="paragraph" w:customStyle="1" w:styleId="163">
    <w:name w:val="xl91"/>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000000"/>
      <w:sz w:val="22"/>
      <w:szCs w:val="22"/>
    </w:rPr>
  </w:style>
  <w:style w:type="paragraph" w:customStyle="1" w:styleId="164">
    <w:name w:val="xl9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0"/>
      <w:szCs w:val="20"/>
    </w:rPr>
  </w:style>
  <w:style w:type="paragraph" w:customStyle="1" w:styleId="165">
    <w:name w:val="xl9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66">
    <w:name w:val="xl9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67">
    <w:name w:val="xl95"/>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sz w:val="22"/>
      <w:szCs w:val="22"/>
    </w:rPr>
  </w:style>
  <w:style w:type="paragraph" w:customStyle="1" w:styleId="168">
    <w:name w:val="xl96"/>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sz w:val="22"/>
      <w:szCs w:val="22"/>
    </w:rPr>
  </w:style>
  <w:style w:type="paragraph" w:customStyle="1" w:styleId="169">
    <w:name w:val="xl9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sz w:val="22"/>
      <w:szCs w:val="22"/>
    </w:rPr>
  </w:style>
  <w:style w:type="paragraph" w:customStyle="1" w:styleId="170">
    <w:name w:val="xl98"/>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sz w:val="22"/>
      <w:szCs w:val="22"/>
    </w:rPr>
  </w:style>
  <w:style w:type="paragraph" w:customStyle="1" w:styleId="171">
    <w:name w:val="xl9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sz w:val="22"/>
      <w:szCs w:val="22"/>
    </w:rPr>
  </w:style>
  <w:style w:type="paragraph" w:customStyle="1" w:styleId="172">
    <w:name w:val="xl10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FF0000"/>
      <w:sz w:val="22"/>
      <w:szCs w:val="22"/>
    </w:rPr>
  </w:style>
  <w:style w:type="paragraph" w:customStyle="1" w:styleId="173">
    <w:name w:val="xl101"/>
    <w:basedOn w:val="1"/>
    <w:qFormat/>
    <w:uiPriority w:val="0"/>
    <w:pPr>
      <w:spacing w:beforeAutospacing="1" w:afterAutospacing="1"/>
      <w:jc w:val="left"/>
      <w:textAlignment w:val="center"/>
    </w:pPr>
    <w:rPr>
      <w:color w:val="FF0000"/>
      <w:sz w:val="20"/>
      <w:szCs w:val="20"/>
    </w:rPr>
  </w:style>
  <w:style w:type="paragraph" w:customStyle="1" w:styleId="174">
    <w:name w:val="xl10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175">
    <w:name w:val="xl103"/>
    <w:basedOn w:val="1"/>
    <w:qFormat/>
    <w:uiPriority w:val="0"/>
    <w:pPr>
      <w:spacing w:beforeAutospacing="1" w:afterAutospacing="1"/>
      <w:jc w:val="left"/>
      <w:textAlignment w:val="center"/>
    </w:pPr>
    <w:rPr>
      <w:color w:val="FF0000"/>
      <w:sz w:val="22"/>
      <w:szCs w:val="22"/>
    </w:rPr>
  </w:style>
  <w:style w:type="paragraph" w:customStyle="1" w:styleId="176">
    <w:name w:val="xl104"/>
    <w:basedOn w:val="1"/>
    <w:qFormat/>
    <w:uiPriority w:val="0"/>
    <w:pPr>
      <w:spacing w:beforeAutospacing="1" w:afterAutospacing="1"/>
      <w:jc w:val="center"/>
    </w:pPr>
    <w:rPr>
      <w:sz w:val="24"/>
    </w:rPr>
  </w:style>
  <w:style w:type="paragraph" w:customStyle="1" w:styleId="177">
    <w:name w:val="xl10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b/>
      <w:bCs/>
      <w:sz w:val="18"/>
      <w:szCs w:val="18"/>
    </w:rPr>
  </w:style>
  <w:style w:type="paragraph" w:customStyle="1" w:styleId="178">
    <w:name w:val="xl10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sz w:val="22"/>
      <w:szCs w:val="22"/>
    </w:rPr>
  </w:style>
  <w:style w:type="paragraph" w:customStyle="1" w:styleId="179">
    <w:name w:val="xl107"/>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180">
    <w:name w:val="xl10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Courier New" w:hAnsi="Courier New" w:cs="Courier New"/>
      <w:sz w:val="22"/>
      <w:szCs w:val="22"/>
    </w:rPr>
  </w:style>
  <w:style w:type="paragraph" w:customStyle="1" w:styleId="181">
    <w:name w:val="xl10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color w:val="FF0000"/>
      <w:sz w:val="22"/>
      <w:szCs w:val="22"/>
    </w:rPr>
  </w:style>
  <w:style w:type="paragraph" w:customStyle="1" w:styleId="182">
    <w:name w:val="xl11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000000"/>
      <w:sz w:val="22"/>
      <w:szCs w:val="22"/>
    </w:rPr>
  </w:style>
  <w:style w:type="paragraph" w:customStyle="1" w:styleId="183">
    <w:name w:val="xl111"/>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rFonts w:ascii="仿宋_GB2312" w:eastAsia="仿宋_GB2312"/>
      <w:sz w:val="22"/>
      <w:szCs w:val="22"/>
    </w:rPr>
  </w:style>
  <w:style w:type="paragraph" w:customStyle="1" w:styleId="184">
    <w:name w:val="xl11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85">
    <w:name w:val="xl11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0"/>
      <w:szCs w:val="20"/>
    </w:rPr>
  </w:style>
  <w:style w:type="paragraph" w:customStyle="1" w:styleId="186">
    <w:name w:val="xl114"/>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sz w:val="22"/>
      <w:szCs w:val="22"/>
    </w:rPr>
  </w:style>
  <w:style w:type="paragraph" w:customStyle="1" w:styleId="187">
    <w:name w:val="xl11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8">
    <w:name w:val="xl11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9">
    <w:name w:val="xl11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190">
    <w:name w:val="xl11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91">
    <w:name w:val="xl11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2">
    <w:name w:val="xl12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2"/>
      <w:szCs w:val="22"/>
    </w:rPr>
  </w:style>
  <w:style w:type="paragraph" w:customStyle="1" w:styleId="193">
    <w:name w:val="xl121"/>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194">
    <w:name w:val="xl12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5">
    <w:name w:val="xl123"/>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6">
    <w:name w:val="xl12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4"/>
    </w:rPr>
  </w:style>
  <w:style w:type="paragraph" w:customStyle="1" w:styleId="197">
    <w:name w:val="xl12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98">
    <w:name w:val="xl126"/>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9">
    <w:name w:val="xl127"/>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sz w:val="22"/>
      <w:szCs w:val="22"/>
    </w:rPr>
  </w:style>
  <w:style w:type="paragraph" w:customStyle="1" w:styleId="200">
    <w:name w:val="xl12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201">
    <w:name w:val="xl12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202">
    <w:name w:val="xl13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2"/>
      <w:szCs w:val="22"/>
    </w:rPr>
  </w:style>
  <w:style w:type="paragraph" w:customStyle="1" w:styleId="203">
    <w:name w:val="xl131"/>
    <w:basedOn w:val="1"/>
    <w:qFormat/>
    <w:uiPriority w:val="0"/>
    <w:pPr>
      <w:pBdr>
        <w:top w:val="single" w:color="auto" w:sz="4" w:space="0"/>
        <w:left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4">
    <w:name w:val="xl132"/>
    <w:basedOn w:val="1"/>
    <w:qFormat/>
    <w:uiPriority w:val="0"/>
    <w:pPr>
      <w:pBdr>
        <w:top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5">
    <w:name w:val="xl133"/>
    <w:basedOn w:val="1"/>
    <w:qFormat/>
    <w:uiPriority w:val="0"/>
    <w:pPr>
      <w:pBdr>
        <w:top w:val="single" w:color="auto" w:sz="4" w:space="0"/>
        <w:bottom w:val="single" w:color="auto" w:sz="4" w:space="0"/>
        <w:right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6">
    <w:name w:val="样式 首行缩进:  0 字符"/>
    <w:basedOn w:val="1"/>
    <w:qFormat/>
    <w:uiPriority w:val="0"/>
    <w:pPr>
      <w:ind w:firstLine="200" w:firstLineChars="200"/>
    </w:pPr>
    <w:rPr>
      <w:sz w:val="24"/>
      <w:szCs w:val="20"/>
    </w:rPr>
  </w:style>
  <w:style w:type="paragraph" w:customStyle="1" w:styleId="207">
    <w:name w:val="5"/>
    <w:basedOn w:val="1"/>
    <w:qFormat/>
    <w:uiPriority w:val="0"/>
    <w:pPr>
      <w:ind w:firstLine="200" w:firstLineChars="200"/>
      <w:jc w:val="left"/>
    </w:pPr>
    <w:rPr>
      <w:sz w:val="24"/>
    </w:rPr>
  </w:style>
  <w:style w:type="paragraph" w:customStyle="1" w:styleId="208">
    <w:name w:val="正文1"/>
    <w:qFormat/>
    <w:uiPriority w:val="0"/>
    <w:pPr>
      <w:widowControl w:val="0"/>
      <w:adjustRightInd w:val="0"/>
      <w:spacing w:line="312" w:lineRule="atLeast"/>
      <w:jc w:val="both"/>
      <w:textAlignment w:val="baseline"/>
    </w:pPr>
    <w:rPr>
      <w:rFonts w:ascii="宋体" w:hAnsi="Times New Roman" w:eastAsia="宋体" w:cs="Times New Roman"/>
      <w:sz w:val="28"/>
      <w:lang w:val="en-US" w:eastAsia="zh-CN" w:bidi="ar-SA"/>
    </w:rPr>
  </w:style>
  <w:style w:type="paragraph" w:customStyle="1" w:styleId="209">
    <w:name w:val="附件标题"/>
    <w:basedOn w:val="1"/>
    <w:qFormat/>
    <w:uiPriority w:val="0"/>
    <w:pPr>
      <w:ind w:firstLine="200" w:firstLineChars="200"/>
      <w:jc w:val="center"/>
    </w:pPr>
    <w:rPr>
      <w:rFonts w:ascii="Arial" w:hAnsi="Arial" w:eastAsia="黑体"/>
      <w:sz w:val="24"/>
    </w:rPr>
  </w:style>
  <w:style w:type="paragraph" w:customStyle="1" w:styleId="210">
    <w:name w:val="附件(1)"/>
    <w:basedOn w:val="1"/>
    <w:qFormat/>
    <w:uiPriority w:val="0"/>
    <w:pPr>
      <w:numPr>
        <w:ilvl w:val="0"/>
        <w:numId w:val="13"/>
      </w:numPr>
      <w:ind w:firstLine="200" w:firstLineChars="200"/>
    </w:pPr>
    <w:rPr>
      <w:sz w:val="24"/>
    </w:rPr>
  </w:style>
  <w:style w:type="paragraph" w:customStyle="1" w:styleId="211">
    <w:name w:val="附件1."/>
    <w:basedOn w:val="2"/>
    <w:qFormat/>
    <w:uiPriority w:val="0"/>
    <w:pPr>
      <w:tabs>
        <w:tab w:val="clear" w:pos="426"/>
      </w:tabs>
      <w:spacing w:before="0" w:after="0" w:line="360" w:lineRule="auto"/>
      <w:ind w:left="567" w:hanging="567"/>
      <w:jc w:val="both"/>
    </w:pPr>
    <w:rPr>
      <w:rFonts w:ascii="Times New Roman" w:hAnsi="Times New Roman" w:eastAsia="宋体"/>
      <w:b w:val="0"/>
      <w:sz w:val="24"/>
      <w:szCs w:val="44"/>
    </w:rPr>
  </w:style>
  <w:style w:type="paragraph" w:customStyle="1" w:styleId="212">
    <w:name w:val="附件圈"/>
    <w:basedOn w:val="210"/>
    <w:qFormat/>
    <w:uiPriority w:val="0"/>
    <w:pPr>
      <w:numPr>
        <w:ilvl w:val="0"/>
        <w:numId w:val="0"/>
      </w:numPr>
      <w:tabs>
        <w:tab w:val="clear" w:pos="426"/>
      </w:tabs>
      <w:ind w:firstLine="420" w:firstLineChars="200"/>
    </w:pPr>
  </w:style>
  <w:style w:type="character" w:customStyle="1" w:styleId="213">
    <w:name w:val="正文文本缩进 2 Char"/>
    <w:link w:val="27"/>
    <w:qFormat/>
    <w:uiPriority w:val="0"/>
    <w:rPr>
      <w:rFonts w:ascii="宋体" w:hAnsi="宋体"/>
      <w:kern w:val="2"/>
      <w:sz w:val="21"/>
      <w:szCs w:val="24"/>
    </w:rPr>
  </w:style>
  <w:style w:type="character" w:customStyle="1" w:styleId="214">
    <w:name w:val="正文文本缩进 Char"/>
    <w:link w:val="21"/>
    <w:qFormat/>
    <w:uiPriority w:val="0"/>
    <w:rPr>
      <w:kern w:val="2"/>
      <w:sz w:val="21"/>
      <w:szCs w:val="24"/>
    </w:rPr>
  </w:style>
  <w:style w:type="paragraph" w:customStyle="1" w:styleId="215">
    <w:name w:val="样式 标题 2H2Heading 2 HiddenHeading 2 CCBSheading 22nd levelh..."/>
    <w:basedOn w:val="5"/>
    <w:qFormat/>
    <w:uiPriority w:val="0"/>
    <w:pPr>
      <w:adjustRightInd/>
      <w:spacing w:before="120" w:after="120"/>
      <w:ind w:left="576" w:hanging="576"/>
      <w:jc w:val="left"/>
      <w:textAlignment w:val="auto"/>
    </w:pPr>
    <w:rPr>
      <w:rFonts w:ascii="Arial" w:hAnsi="Arial" w:eastAsia="黑体" w:cs="宋体"/>
      <w:bCs/>
      <w:kern w:val="2"/>
      <w:sz w:val="28"/>
      <w:szCs w:val="28"/>
    </w:rPr>
  </w:style>
  <w:style w:type="paragraph" w:customStyle="1" w:styleId="216">
    <w:name w:val="样式 标题 2H2Heading 2 HiddenHeading 2 CCBSheading 22nd levelh...1"/>
    <w:basedOn w:val="5"/>
    <w:qFormat/>
    <w:uiPriority w:val="0"/>
    <w:pPr>
      <w:adjustRightInd/>
      <w:spacing w:before="240" w:after="240"/>
      <w:ind w:left="576" w:hanging="576"/>
      <w:jc w:val="left"/>
      <w:textAlignment w:val="auto"/>
    </w:pPr>
    <w:rPr>
      <w:bCs/>
      <w:kern w:val="2"/>
      <w:sz w:val="28"/>
      <w:szCs w:val="28"/>
    </w:rPr>
  </w:style>
  <w:style w:type="character" w:customStyle="1" w:styleId="217">
    <w:name w:val="Default Char"/>
    <w:link w:val="80"/>
    <w:qFormat/>
    <w:uiPriority w:val="0"/>
    <w:rPr>
      <w:rFonts w:ascii="宋体" w:hAnsi="Calibri"/>
      <w:color w:val="000000"/>
      <w:sz w:val="24"/>
      <w:szCs w:val="24"/>
      <w:lang w:bidi="ar-SA"/>
    </w:rPr>
  </w:style>
  <w:style w:type="paragraph" w:customStyle="1" w:styleId="218">
    <w:name w:val="CM51"/>
    <w:basedOn w:val="80"/>
    <w:next w:val="80"/>
    <w:qFormat/>
    <w:uiPriority w:val="0"/>
    <w:pPr>
      <w:spacing w:after="103"/>
    </w:pPr>
    <w:rPr>
      <w:rFonts w:ascii="黑体" w:eastAsia="黑体"/>
      <w:color w:val="auto"/>
    </w:rPr>
  </w:style>
  <w:style w:type="paragraph" w:customStyle="1" w:styleId="219">
    <w:name w:val="pan"/>
    <w:basedOn w:val="78"/>
    <w:link w:val="220"/>
    <w:qFormat/>
    <w:uiPriority w:val="0"/>
    <w:pPr>
      <w:numPr>
        <w:ilvl w:val="0"/>
        <w:numId w:val="14"/>
      </w:numPr>
      <w:tabs>
        <w:tab w:val="left" w:pos="840"/>
      </w:tabs>
      <w:ind w:left="840" w:hanging="420" w:firstLineChars="0"/>
      <w:outlineLvl w:val="0"/>
    </w:pPr>
    <w:rPr>
      <w:rFonts w:ascii="黑体" w:hAnsi="黑体" w:eastAsia="黑体"/>
      <w:sz w:val="32"/>
      <w:szCs w:val="32"/>
    </w:rPr>
  </w:style>
  <w:style w:type="character" w:customStyle="1" w:styleId="220">
    <w:name w:val="pan Char"/>
    <w:link w:val="219"/>
    <w:qFormat/>
    <w:uiPriority w:val="0"/>
    <w:rPr>
      <w:rFonts w:ascii="黑体" w:hAnsi="黑体" w:eastAsia="黑体"/>
      <w:kern w:val="2"/>
      <w:sz w:val="32"/>
      <w:szCs w:val="32"/>
      <w:shd w:val="clear" w:color="auto" w:fill="FFFFFF"/>
    </w:rPr>
  </w:style>
  <w:style w:type="paragraph" w:customStyle="1" w:styleId="221">
    <w:name w:val="pan2"/>
    <w:basedOn w:val="78"/>
    <w:link w:val="222"/>
    <w:qFormat/>
    <w:uiPriority w:val="0"/>
    <w:pPr>
      <w:numPr>
        <w:ilvl w:val="1"/>
        <w:numId w:val="14"/>
      </w:numPr>
      <w:tabs>
        <w:tab w:val="left" w:pos="840"/>
      </w:tabs>
      <w:ind w:left="840" w:hanging="420" w:firstLineChars="0"/>
      <w:outlineLvl w:val="1"/>
    </w:pPr>
    <w:rPr>
      <w:rFonts w:ascii="黑体" w:hAnsi="黑体" w:eastAsia="黑体"/>
      <w:sz w:val="30"/>
      <w:szCs w:val="30"/>
    </w:rPr>
  </w:style>
  <w:style w:type="character" w:customStyle="1" w:styleId="222">
    <w:name w:val="pan2 Char"/>
    <w:link w:val="221"/>
    <w:qFormat/>
    <w:uiPriority w:val="0"/>
    <w:rPr>
      <w:rFonts w:ascii="黑体" w:hAnsi="黑体" w:eastAsia="黑体"/>
      <w:kern w:val="2"/>
      <w:sz w:val="30"/>
      <w:szCs w:val="30"/>
      <w:shd w:val="clear" w:color="auto" w:fill="FFFFFF"/>
    </w:rPr>
  </w:style>
  <w:style w:type="paragraph" w:customStyle="1" w:styleId="223">
    <w:name w:val="pan3"/>
    <w:basedOn w:val="78"/>
    <w:link w:val="224"/>
    <w:qFormat/>
    <w:uiPriority w:val="0"/>
    <w:pPr>
      <w:numPr>
        <w:ilvl w:val="2"/>
        <w:numId w:val="14"/>
      </w:numPr>
      <w:tabs>
        <w:tab w:val="left" w:pos="1260"/>
      </w:tabs>
      <w:ind w:left="1260" w:hanging="420" w:firstLineChars="0"/>
      <w:outlineLvl w:val="2"/>
    </w:pPr>
    <w:rPr>
      <w:rFonts w:ascii="黑体" w:hAnsi="黑体" w:eastAsia="黑体"/>
      <w:sz w:val="28"/>
      <w:szCs w:val="28"/>
    </w:rPr>
  </w:style>
  <w:style w:type="character" w:customStyle="1" w:styleId="224">
    <w:name w:val="pan3 Char"/>
    <w:link w:val="223"/>
    <w:qFormat/>
    <w:uiPriority w:val="0"/>
    <w:rPr>
      <w:rFonts w:ascii="黑体" w:hAnsi="黑体" w:eastAsia="黑体"/>
      <w:kern w:val="2"/>
      <w:sz w:val="28"/>
      <w:szCs w:val="28"/>
      <w:shd w:val="clear" w:color="auto" w:fill="FFFFFF"/>
    </w:rPr>
  </w:style>
  <w:style w:type="paragraph" w:customStyle="1" w:styleId="225">
    <w:name w:val="pan4"/>
    <w:basedOn w:val="78"/>
    <w:link w:val="226"/>
    <w:qFormat/>
    <w:uiPriority w:val="0"/>
    <w:pPr>
      <w:numPr>
        <w:ilvl w:val="3"/>
        <w:numId w:val="14"/>
      </w:numPr>
      <w:tabs>
        <w:tab w:val="left" w:pos="1680"/>
      </w:tabs>
      <w:ind w:left="1680" w:hanging="420" w:firstLineChars="0"/>
      <w:outlineLvl w:val="3"/>
    </w:pPr>
    <w:rPr>
      <w:rFonts w:ascii="黑体" w:hAnsi="黑体" w:eastAsia="黑体"/>
      <w:sz w:val="28"/>
      <w:szCs w:val="28"/>
    </w:rPr>
  </w:style>
  <w:style w:type="character" w:customStyle="1" w:styleId="226">
    <w:name w:val="pan4 Char"/>
    <w:link w:val="225"/>
    <w:qFormat/>
    <w:uiPriority w:val="0"/>
    <w:rPr>
      <w:rFonts w:ascii="黑体" w:hAnsi="黑体" w:eastAsia="黑体"/>
      <w:kern w:val="2"/>
      <w:sz w:val="28"/>
      <w:szCs w:val="28"/>
      <w:shd w:val="clear" w:color="auto" w:fill="FFFFFF"/>
    </w:rPr>
  </w:style>
  <w:style w:type="paragraph" w:customStyle="1" w:styleId="227">
    <w:name w:val="pan5"/>
    <w:basedOn w:val="78"/>
    <w:link w:val="228"/>
    <w:qFormat/>
    <w:uiPriority w:val="0"/>
    <w:pPr>
      <w:numPr>
        <w:ilvl w:val="4"/>
        <w:numId w:val="14"/>
      </w:numPr>
      <w:tabs>
        <w:tab w:val="left" w:pos="1008"/>
      </w:tabs>
      <w:ind w:left="1008" w:hanging="1008" w:firstLineChars="0"/>
      <w:outlineLvl w:val="4"/>
    </w:pPr>
    <w:rPr>
      <w:rFonts w:ascii="黑体" w:hAnsi="黑体" w:eastAsia="黑体"/>
      <w:sz w:val="24"/>
    </w:rPr>
  </w:style>
  <w:style w:type="character" w:customStyle="1" w:styleId="228">
    <w:name w:val="pan5 Char"/>
    <w:link w:val="227"/>
    <w:qFormat/>
    <w:uiPriority w:val="0"/>
    <w:rPr>
      <w:rFonts w:ascii="黑体" w:hAnsi="黑体" w:eastAsia="黑体"/>
      <w:kern w:val="2"/>
      <w:sz w:val="24"/>
      <w:szCs w:val="24"/>
      <w:shd w:val="clear" w:color="auto" w:fill="FFFFFF"/>
    </w:rPr>
  </w:style>
  <w:style w:type="paragraph" w:customStyle="1" w:styleId="229">
    <w:name w:val="一级标题"/>
    <w:basedOn w:val="78"/>
    <w:link w:val="231"/>
    <w:qFormat/>
    <w:uiPriority w:val="0"/>
    <w:pPr>
      <w:numPr>
        <w:ilvl w:val="0"/>
        <w:numId w:val="15"/>
      </w:numPr>
      <w:spacing w:line="720" w:lineRule="auto"/>
      <w:ind w:firstLineChars="0"/>
      <w:jc w:val="center"/>
      <w:outlineLvl w:val="0"/>
    </w:pPr>
    <w:rPr>
      <w:rFonts w:ascii="黑体" w:hAnsi="黑体" w:eastAsia="黑体"/>
      <w:sz w:val="44"/>
      <w:szCs w:val="44"/>
    </w:rPr>
  </w:style>
  <w:style w:type="paragraph" w:customStyle="1" w:styleId="230">
    <w:name w:val="二级标题"/>
    <w:basedOn w:val="78"/>
    <w:link w:val="233"/>
    <w:qFormat/>
    <w:uiPriority w:val="0"/>
    <w:pPr>
      <w:numPr>
        <w:ilvl w:val="1"/>
        <w:numId w:val="15"/>
      </w:numPr>
      <w:spacing w:line="720" w:lineRule="auto"/>
      <w:ind w:firstLineChars="0"/>
      <w:outlineLvl w:val="1"/>
    </w:pPr>
    <w:rPr>
      <w:rFonts w:ascii="黑体" w:hAnsi="黑体" w:eastAsia="黑体"/>
      <w:sz w:val="36"/>
      <w:szCs w:val="36"/>
    </w:rPr>
  </w:style>
  <w:style w:type="character" w:customStyle="1" w:styleId="231">
    <w:name w:val="一级标题 Char"/>
    <w:link w:val="229"/>
    <w:qFormat/>
    <w:uiPriority w:val="0"/>
    <w:rPr>
      <w:rFonts w:ascii="黑体" w:hAnsi="黑体" w:eastAsia="黑体"/>
      <w:kern w:val="2"/>
      <w:sz w:val="44"/>
      <w:szCs w:val="44"/>
      <w:shd w:val="clear" w:color="auto" w:fill="FFFFFF"/>
    </w:rPr>
  </w:style>
  <w:style w:type="paragraph" w:customStyle="1" w:styleId="232">
    <w:name w:val="三级标题"/>
    <w:basedOn w:val="78"/>
    <w:link w:val="235"/>
    <w:qFormat/>
    <w:uiPriority w:val="0"/>
    <w:pPr>
      <w:numPr>
        <w:ilvl w:val="2"/>
        <w:numId w:val="15"/>
      </w:numPr>
      <w:spacing w:line="720" w:lineRule="auto"/>
      <w:ind w:firstLineChars="0"/>
      <w:outlineLvl w:val="2"/>
    </w:pPr>
    <w:rPr>
      <w:rFonts w:ascii="黑体" w:hAnsi="黑体" w:eastAsia="黑体"/>
      <w:sz w:val="32"/>
      <w:szCs w:val="32"/>
    </w:rPr>
  </w:style>
  <w:style w:type="character" w:customStyle="1" w:styleId="233">
    <w:name w:val="二级标题 Char"/>
    <w:link w:val="230"/>
    <w:qFormat/>
    <w:uiPriority w:val="0"/>
    <w:rPr>
      <w:rFonts w:ascii="黑体" w:hAnsi="黑体" w:eastAsia="黑体"/>
      <w:kern w:val="2"/>
      <w:sz w:val="36"/>
      <w:szCs w:val="36"/>
      <w:shd w:val="clear" w:color="auto" w:fill="FFFFFF"/>
    </w:rPr>
  </w:style>
  <w:style w:type="paragraph" w:customStyle="1" w:styleId="234">
    <w:name w:val="四级标题"/>
    <w:basedOn w:val="78"/>
    <w:link w:val="237"/>
    <w:qFormat/>
    <w:uiPriority w:val="0"/>
    <w:pPr>
      <w:numPr>
        <w:ilvl w:val="3"/>
        <w:numId w:val="15"/>
      </w:numPr>
      <w:spacing w:line="720" w:lineRule="auto"/>
      <w:ind w:firstLineChars="0"/>
      <w:outlineLvl w:val="3"/>
    </w:pPr>
    <w:rPr>
      <w:rFonts w:ascii="黑体" w:hAnsi="黑体" w:eastAsia="黑体"/>
      <w:sz w:val="30"/>
      <w:szCs w:val="30"/>
    </w:rPr>
  </w:style>
  <w:style w:type="character" w:customStyle="1" w:styleId="235">
    <w:name w:val="三级标题 Char"/>
    <w:link w:val="232"/>
    <w:qFormat/>
    <w:uiPriority w:val="0"/>
    <w:rPr>
      <w:rFonts w:ascii="黑体" w:hAnsi="黑体" w:eastAsia="黑体"/>
      <w:kern w:val="2"/>
      <w:sz w:val="32"/>
      <w:szCs w:val="32"/>
      <w:shd w:val="clear" w:color="auto" w:fill="FFFFFF"/>
    </w:rPr>
  </w:style>
  <w:style w:type="paragraph" w:customStyle="1" w:styleId="236">
    <w:name w:val="五级标题"/>
    <w:basedOn w:val="78"/>
    <w:link w:val="238"/>
    <w:qFormat/>
    <w:uiPriority w:val="0"/>
    <w:pPr>
      <w:numPr>
        <w:ilvl w:val="4"/>
        <w:numId w:val="15"/>
      </w:numPr>
      <w:spacing w:line="720" w:lineRule="auto"/>
      <w:ind w:firstLineChars="0"/>
      <w:outlineLvl w:val="4"/>
    </w:pPr>
    <w:rPr>
      <w:rFonts w:ascii="黑体" w:hAnsi="黑体" w:eastAsia="黑体"/>
      <w:sz w:val="28"/>
      <w:szCs w:val="28"/>
    </w:rPr>
  </w:style>
  <w:style w:type="character" w:customStyle="1" w:styleId="237">
    <w:name w:val="四级标题 Char"/>
    <w:link w:val="234"/>
    <w:qFormat/>
    <w:uiPriority w:val="0"/>
    <w:rPr>
      <w:rFonts w:ascii="黑体" w:hAnsi="黑体" w:eastAsia="黑体"/>
      <w:kern w:val="2"/>
      <w:sz w:val="30"/>
      <w:szCs w:val="30"/>
      <w:shd w:val="clear" w:color="auto" w:fill="FFFFFF"/>
    </w:rPr>
  </w:style>
  <w:style w:type="character" w:customStyle="1" w:styleId="238">
    <w:name w:val="五级标题 Char"/>
    <w:link w:val="236"/>
    <w:qFormat/>
    <w:uiPriority w:val="0"/>
    <w:rPr>
      <w:rFonts w:ascii="黑体" w:hAnsi="黑体" w:eastAsia="黑体"/>
      <w:kern w:val="2"/>
      <w:sz w:val="28"/>
      <w:szCs w:val="28"/>
      <w:shd w:val="clear" w:color="auto" w:fill="FFFFFF"/>
    </w:rPr>
  </w:style>
  <w:style w:type="paragraph" w:customStyle="1" w:styleId="239">
    <w:name w:val="图片"/>
    <w:basedOn w:val="1"/>
    <w:link w:val="241"/>
    <w:qFormat/>
    <w:uiPriority w:val="0"/>
    <w:pPr>
      <w:ind w:firstLine="200" w:firstLineChars="200"/>
      <w:jc w:val="center"/>
    </w:pPr>
    <w:rPr>
      <w:rFonts w:cs="Times New Roman"/>
      <w:kern w:val="2"/>
      <w:sz w:val="24"/>
    </w:rPr>
  </w:style>
  <w:style w:type="paragraph" w:customStyle="1" w:styleId="240">
    <w:name w:val="图片注释"/>
    <w:basedOn w:val="1"/>
    <w:link w:val="242"/>
    <w:qFormat/>
    <w:uiPriority w:val="0"/>
    <w:pPr>
      <w:spacing w:afterLines="25"/>
      <w:ind w:firstLine="200" w:firstLineChars="200"/>
      <w:jc w:val="center"/>
    </w:pPr>
    <w:rPr>
      <w:rFonts w:cs="Times New Roman"/>
      <w:kern w:val="2"/>
      <w:sz w:val="24"/>
      <w:u w:val="single"/>
    </w:rPr>
  </w:style>
  <w:style w:type="character" w:customStyle="1" w:styleId="241">
    <w:name w:val="图片 Char"/>
    <w:link w:val="239"/>
    <w:qFormat/>
    <w:uiPriority w:val="0"/>
    <w:rPr>
      <w:rFonts w:ascii="宋体" w:hAnsi="宋体"/>
      <w:kern w:val="2"/>
      <w:sz w:val="24"/>
      <w:szCs w:val="24"/>
    </w:rPr>
  </w:style>
  <w:style w:type="character" w:customStyle="1" w:styleId="242">
    <w:name w:val="图片注释 Char"/>
    <w:link w:val="240"/>
    <w:qFormat/>
    <w:uiPriority w:val="0"/>
    <w:rPr>
      <w:rFonts w:ascii="宋体" w:hAnsi="宋体"/>
      <w:kern w:val="2"/>
      <w:sz w:val="24"/>
      <w:szCs w:val="24"/>
      <w:u w:val="single"/>
    </w:rPr>
  </w:style>
  <w:style w:type="paragraph" w:customStyle="1" w:styleId="243">
    <w:name w:val="段内层标"/>
    <w:basedOn w:val="131"/>
    <w:link w:val="244"/>
    <w:qFormat/>
    <w:uiPriority w:val="0"/>
    <w:pPr>
      <w:numPr>
        <w:ilvl w:val="0"/>
        <w:numId w:val="16"/>
      </w:numPr>
      <w:spacing w:beforeLines="25" w:afterLines="25"/>
      <w:ind w:firstLine="200" w:firstLineChars="200"/>
    </w:pPr>
    <w:rPr>
      <w:rFonts w:ascii="宋体" w:hAnsi="宋体"/>
      <w:b/>
      <w:kern w:val="2"/>
      <w:sz w:val="28"/>
      <w:szCs w:val="28"/>
    </w:rPr>
  </w:style>
  <w:style w:type="character" w:customStyle="1" w:styleId="244">
    <w:name w:val="段内层标 Char"/>
    <w:link w:val="243"/>
    <w:qFormat/>
    <w:uiPriority w:val="0"/>
    <w:rPr>
      <w:rFonts w:ascii="宋体" w:hAnsi="宋体"/>
      <w:b/>
      <w:kern w:val="2"/>
      <w:sz w:val="28"/>
      <w:szCs w:val="28"/>
      <w:shd w:val="clear" w:color="auto" w:fill="FFFFFF"/>
    </w:rPr>
  </w:style>
  <w:style w:type="paragraph" w:customStyle="1" w:styleId="245">
    <w:name w:val="方案设计1级标题"/>
    <w:basedOn w:val="78"/>
    <w:qFormat/>
    <w:uiPriority w:val="0"/>
    <w:pPr>
      <w:tabs>
        <w:tab w:val="left" w:pos="840"/>
      </w:tabs>
      <w:ind w:left="840" w:firstLine="0" w:firstLineChars="0"/>
      <w:jc w:val="center"/>
      <w:outlineLvl w:val="0"/>
    </w:pPr>
    <w:rPr>
      <w:rFonts w:ascii="黑体" w:hAnsi="黑体" w:eastAsia="黑体"/>
      <w:sz w:val="44"/>
      <w:szCs w:val="44"/>
    </w:rPr>
  </w:style>
  <w:style w:type="paragraph" w:customStyle="1" w:styleId="246">
    <w:name w:val="方案设计2级标题"/>
    <w:basedOn w:val="78"/>
    <w:qFormat/>
    <w:uiPriority w:val="0"/>
    <w:pPr>
      <w:numPr>
        <w:ilvl w:val="1"/>
        <w:numId w:val="17"/>
      </w:numPr>
      <w:ind w:firstLine="0" w:firstLineChars="0"/>
      <w:outlineLvl w:val="1"/>
    </w:pPr>
    <w:rPr>
      <w:rFonts w:ascii="黑体" w:hAnsi="黑体" w:eastAsia="黑体"/>
      <w:sz w:val="32"/>
      <w:szCs w:val="32"/>
    </w:rPr>
  </w:style>
  <w:style w:type="paragraph" w:customStyle="1" w:styleId="247">
    <w:name w:val="标题3"/>
    <w:basedOn w:val="78"/>
    <w:link w:val="252"/>
    <w:qFormat/>
    <w:uiPriority w:val="0"/>
    <w:pPr>
      <w:numPr>
        <w:ilvl w:val="2"/>
        <w:numId w:val="17"/>
      </w:numPr>
      <w:ind w:firstLine="0" w:firstLineChars="0"/>
      <w:outlineLvl w:val="2"/>
    </w:pPr>
    <w:rPr>
      <w:rFonts w:ascii="黑体" w:hAnsi="黑体" w:eastAsia="黑体"/>
      <w:sz w:val="28"/>
      <w:szCs w:val="28"/>
    </w:rPr>
  </w:style>
  <w:style w:type="paragraph" w:customStyle="1" w:styleId="248">
    <w:name w:val="标题5"/>
    <w:basedOn w:val="78"/>
    <w:qFormat/>
    <w:uiPriority w:val="0"/>
    <w:pPr>
      <w:tabs>
        <w:tab w:val="left" w:pos="2038"/>
      </w:tabs>
      <w:ind w:left="2038" w:hanging="420" w:firstLineChars="0"/>
      <w:jc w:val="left"/>
      <w:outlineLvl w:val="4"/>
    </w:pPr>
    <w:rPr>
      <w:rFonts w:ascii="黑体" w:hAnsi="黑体" w:eastAsia="黑体"/>
      <w:sz w:val="28"/>
      <w:szCs w:val="28"/>
    </w:rPr>
  </w:style>
  <w:style w:type="paragraph" w:customStyle="1" w:styleId="249">
    <w:name w:val="正文标题"/>
    <w:basedOn w:val="1"/>
    <w:link w:val="250"/>
    <w:qFormat/>
    <w:uiPriority w:val="0"/>
    <w:pPr>
      <w:numPr>
        <w:ilvl w:val="0"/>
        <w:numId w:val="17"/>
      </w:numPr>
      <w:ind w:firstLine="200" w:firstLineChars="200"/>
    </w:pPr>
    <w:rPr>
      <w:rFonts w:ascii="Calibri" w:hAnsi="Calibri" w:cs="Times New Roman"/>
      <w:b/>
      <w:kern w:val="2"/>
      <w:sz w:val="28"/>
      <w:szCs w:val="28"/>
    </w:rPr>
  </w:style>
  <w:style w:type="character" w:customStyle="1" w:styleId="250">
    <w:name w:val="正文标题 Char"/>
    <w:link w:val="249"/>
    <w:qFormat/>
    <w:uiPriority w:val="0"/>
    <w:rPr>
      <w:rFonts w:ascii="Calibri" w:hAnsi="Calibri"/>
      <w:b/>
      <w:kern w:val="2"/>
      <w:sz w:val="28"/>
      <w:szCs w:val="28"/>
      <w:shd w:val="clear" w:color="auto" w:fill="FFFFFF"/>
    </w:rPr>
  </w:style>
  <w:style w:type="character" w:customStyle="1" w:styleId="251">
    <w:name w:val="批注主题 Char"/>
    <w:link w:val="43"/>
    <w:qFormat/>
    <w:uiPriority w:val="0"/>
    <w:rPr>
      <w:b/>
      <w:bCs/>
      <w:kern w:val="2"/>
      <w:sz w:val="21"/>
      <w:szCs w:val="24"/>
    </w:rPr>
  </w:style>
  <w:style w:type="character" w:customStyle="1" w:styleId="252">
    <w:name w:val="标题3 Char"/>
    <w:link w:val="247"/>
    <w:qFormat/>
    <w:uiPriority w:val="0"/>
    <w:rPr>
      <w:rFonts w:ascii="黑体" w:hAnsi="黑体" w:eastAsia="黑体"/>
      <w:kern w:val="2"/>
      <w:sz w:val="28"/>
      <w:szCs w:val="28"/>
      <w:shd w:val="clear" w:color="auto" w:fill="FFFFFF"/>
    </w:rPr>
  </w:style>
  <w:style w:type="paragraph" w:customStyle="1" w:styleId="253">
    <w:name w:val="样式 Verdana 四号 首行缩进:  2 字符"/>
    <w:basedOn w:val="1"/>
    <w:qFormat/>
    <w:uiPriority w:val="0"/>
    <w:pPr>
      <w:ind w:firstLine="560" w:firstLineChars="200"/>
      <w:jc w:val="left"/>
    </w:pPr>
    <w:rPr>
      <w:rFonts w:ascii="Verdana" w:hAnsi="Verdana"/>
      <w:sz w:val="24"/>
      <w:szCs w:val="20"/>
    </w:rPr>
  </w:style>
  <w:style w:type="paragraph" w:customStyle="1" w:styleId="254">
    <w:name w:val="层标"/>
    <w:basedOn w:val="131"/>
    <w:link w:val="255"/>
    <w:qFormat/>
    <w:uiPriority w:val="0"/>
    <w:pPr>
      <w:numPr>
        <w:ilvl w:val="0"/>
        <w:numId w:val="18"/>
      </w:numPr>
      <w:spacing w:beforeLines="25" w:afterLines="25"/>
      <w:ind w:firstLine="0"/>
    </w:pPr>
    <w:rPr>
      <w:rFonts w:ascii="宋体" w:hAnsi="宋体"/>
      <w:b/>
      <w:kern w:val="2"/>
      <w:sz w:val="28"/>
      <w:szCs w:val="28"/>
    </w:rPr>
  </w:style>
  <w:style w:type="character" w:customStyle="1" w:styleId="255">
    <w:name w:val="层标 Char"/>
    <w:link w:val="254"/>
    <w:qFormat/>
    <w:uiPriority w:val="0"/>
    <w:rPr>
      <w:rFonts w:ascii="宋体" w:hAnsi="宋体"/>
      <w:b/>
      <w:kern w:val="2"/>
      <w:sz w:val="28"/>
      <w:szCs w:val="28"/>
      <w:shd w:val="clear" w:color="auto" w:fill="FFFFFF"/>
    </w:rPr>
  </w:style>
  <w:style w:type="paragraph" w:styleId="256">
    <w:name w:val="Quote"/>
    <w:basedOn w:val="1"/>
    <w:next w:val="1"/>
    <w:link w:val="257"/>
    <w:qFormat/>
    <w:uiPriority w:val="29"/>
    <w:pPr>
      <w:jc w:val="center"/>
    </w:pPr>
    <w:rPr>
      <w:rFonts w:ascii="Times New Roman" w:hAnsi="Times New Roman" w:cs="Times New Roman"/>
      <w:iCs/>
      <w:color w:val="000000"/>
      <w:kern w:val="2"/>
      <w:sz w:val="24"/>
    </w:rPr>
  </w:style>
  <w:style w:type="character" w:customStyle="1" w:styleId="257">
    <w:name w:val="引用 Char"/>
    <w:link w:val="256"/>
    <w:qFormat/>
    <w:uiPriority w:val="29"/>
    <w:rPr>
      <w:iCs/>
      <w:color w:val="000000"/>
      <w:kern w:val="2"/>
      <w:sz w:val="24"/>
      <w:szCs w:val="24"/>
    </w:rPr>
  </w:style>
  <w:style w:type="character" w:customStyle="1" w:styleId="258">
    <w:name w:val="明显参考1"/>
    <w:qFormat/>
    <w:uiPriority w:val="32"/>
    <w:rPr>
      <w:rFonts w:eastAsia="宋体"/>
      <w:bCs/>
      <w:smallCaps/>
      <w:color w:val="000000"/>
      <w:spacing w:val="5"/>
      <w:sz w:val="24"/>
      <w:u w:val="single"/>
    </w:rPr>
  </w:style>
  <w:style w:type="paragraph" w:customStyle="1" w:styleId="259">
    <w:name w:val="段落强调"/>
    <w:basedOn w:val="1"/>
    <w:link w:val="261"/>
    <w:qFormat/>
    <w:uiPriority w:val="0"/>
    <w:pPr>
      <w:numPr>
        <w:ilvl w:val="0"/>
        <w:numId w:val="19"/>
      </w:numPr>
      <w:ind w:left="0" w:firstLine="420"/>
    </w:pPr>
    <w:rPr>
      <w:rFonts w:ascii="Times New Roman" w:hAnsi="Times New Roman" w:cs="Times New Roman"/>
      <w:b/>
      <w:kern w:val="2"/>
      <w:sz w:val="24"/>
    </w:rPr>
  </w:style>
  <w:style w:type="character" w:customStyle="1" w:styleId="260">
    <w:name w:val="书籍标题1"/>
    <w:qFormat/>
    <w:uiPriority w:val="33"/>
    <w:rPr>
      <w:b/>
      <w:bCs/>
      <w:smallCaps/>
      <w:spacing w:val="5"/>
    </w:rPr>
  </w:style>
  <w:style w:type="character" w:customStyle="1" w:styleId="261">
    <w:name w:val="段落强调 Char"/>
    <w:link w:val="259"/>
    <w:qFormat/>
    <w:uiPriority w:val="0"/>
    <w:rPr>
      <w:b/>
      <w:kern w:val="2"/>
      <w:sz w:val="24"/>
      <w:szCs w:val="24"/>
      <w:shd w:val="clear" w:color="auto" w:fill="FFFFFF"/>
    </w:rPr>
  </w:style>
  <w:style w:type="paragraph" w:customStyle="1" w:styleId="262">
    <w:name w:val="段内主题"/>
    <w:basedOn w:val="1"/>
    <w:link w:val="264"/>
    <w:qFormat/>
    <w:uiPriority w:val="0"/>
    <w:pPr>
      <w:numPr>
        <w:ilvl w:val="1"/>
        <w:numId w:val="20"/>
      </w:numPr>
      <w:ind w:firstLine="0"/>
    </w:pPr>
    <w:rPr>
      <w:rFonts w:cs="Times New Roman"/>
      <w:b/>
      <w:kern w:val="2"/>
      <w:sz w:val="24"/>
    </w:rPr>
  </w:style>
  <w:style w:type="paragraph" w:customStyle="1" w:styleId="263">
    <w:name w:val="图片注释新"/>
    <w:basedOn w:val="240"/>
    <w:link w:val="265"/>
    <w:qFormat/>
    <w:uiPriority w:val="0"/>
    <w:pPr>
      <w:spacing w:after="81"/>
      <w:ind w:firstLine="0" w:firstLineChars="0"/>
    </w:pPr>
  </w:style>
  <w:style w:type="character" w:customStyle="1" w:styleId="264">
    <w:name w:val="段内主题 Char"/>
    <w:link w:val="262"/>
    <w:qFormat/>
    <w:uiPriority w:val="0"/>
    <w:rPr>
      <w:rFonts w:ascii="宋体" w:hAnsi="宋体"/>
      <w:b/>
      <w:kern w:val="2"/>
      <w:sz w:val="24"/>
      <w:szCs w:val="24"/>
      <w:shd w:val="clear" w:color="auto" w:fill="FFFFFF"/>
    </w:rPr>
  </w:style>
  <w:style w:type="character" w:customStyle="1" w:styleId="265">
    <w:name w:val="图片注释新 Char"/>
    <w:link w:val="263"/>
    <w:qFormat/>
    <w:uiPriority w:val="0"/>
    <w:rPr>
      <w:rFonts w:ascii="宋体" w:hAnsi="宋体"/>
      <w:kern w:val="2"/>
      <w:sz w:val="24"/>
      <w:szCs w:val="24"/>
      <w:u w:val="single"/>
    </w:rPr>
  </w:style>
  <w:style w:type="paragraph" w:customStyle="1" w:styleId="266">
    <w:name w:val="正文（缩进）"/>
    <w:basedOn w:val="1"/>
    <w:link w:val="267"/>
    <w:qFormat/>
    <w:uiPriority w:val="0"/>
    <w:pPr>
      <w:spacing w:beforeLines="50" w:afterLines="50"/>
      <w:ind w:firstLine="480" w:firstLineChars="200"/>
    </w:pPr>
    <w:rPr>
      <w:rFonts w:ascii="Times New Roman" w:hAnsi="Times New Roman" w:cs="Times New Roman"/>
      <w:sz w:val="24"/>
    </w:rPr>
  </w:style>
  <w:style w:type="character" w:customStyle="1" w:styleId="267">
    <w:name w:val="正文（缩进） Char"/>
    <w:link w:val="266"/>
    <w:qFormat/>
    <w:uiPriority w:val="0"/>
    <w:rPr>
      <w:sz w:val="24"/>
      <w:szCs w:val="24"/>
    </w:rPr>
  </w:style>
  <w:style w:type="character" w:customStyle="1" w:styleId="268">
    <w:name w:val="Char Char4"/>
    <w:qFormat/>
    <w:uiPriority w:val="0"/>
    <w:rPr>
      <w:rFonts w:eastAsia="宋体"/>
      <w:b/>
      <w:kern w:val="2"/>
      <w:sz w:val="24"/>
      <w:lang w:val="en-US" w:eastAsia="zh-CN" w:bidi="ar-SA"/>
    </w:rPr>
  </w:style>
  <w:style w:type="character" w:customStyle="1" w:styleId="269">
    <w:name w:val="正文文本缩进 3 Char"/>
    <w:link w:val="35"/>
    <w:qFormat/>
    <w:uiPriority w:val="0"/>
    <w:rPr>
      <w:rFonts w:ascii="宋体"/>
      <w:b/>
      <w:bCs/>
      <w:kern w:val="2"/>
      <w:sz w:val="24"/>
      <w:szCs w:val="24"/>
    </w:rPr>
  </w:style>
  <w:style w:type="paragraph" w:customStyle="1" w:styleId="270">
    <w:name w:val="Char5 Char Char 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271">
    <w:name w:val="pa-2"/>
    <w:basedOn w:val="1"/>
    <w:qFormat/>
    <w:uiPriority w:val="0"/>
    <w:pPr>
      <w:spacing w:before="100" w:beforeAutospacing="1" w:after="100" w:afterAutospacing="1"/>
      <w:jc w:val="left"/>
    </w:pPr>
    <w:rPr>
      <w:sz w:val="24"/>
    </w:rPr>
  </w:style>
  <w:style w:type="character" w:customStyle="1" w:styleId="272">
    <w:name w:val="HTML 预设格式 Char"/>
    <w:link w:val="39"/>
    <w:qFormat/>
    <w:uiPriority w:val="0"/>
    <w:rPr>
      <w:rFonts w:ascii="Arial Unicode MS" w:hAnsi="Arial Unicode MS" w:eastAsia="Arial Unicode MS"/>
      <w:color w:val="000000"/>
    </w:rPr>
  </w:style>
  <w:style w:type="character" w:customStyle="1" w:styleId="273">
    <w:name w:val="正文文本 2 Char"/>
    <w:link w:val="38"/>
    <w:qFormat/>
    <w:uiPriority w:val="0"/>
    <w:rPr>
      <w:kern w:val="2"/>
      <w:sz w:val="24"/>
      <w:szCs w:val="24"/>
    </w:rPr>
  </w:style>
  <w:style w:type="character" w:customStyle="1" w:styleId="274">
    <w:name w:val="正文文本 3 Char"/>
    <w:link w:val="19"/>
    <w:qFormat/>
    <w:uiPriority w:val="0"/>
    <w:rPr>
      <w:kern w:val="2"/>
      <w:sz w:val="16"/>
      <w:szCs w:val="16"/>
    </w:rPr>
  </w:style>
  <w:style w:type="paragraph" w:customStyle="1" w:styleId="275">
    <w:name w:val="方案正文段落"/>
    <w:basedOn w:val="1"/>
    <w:link w:val="276"/>
    <w:qFormat/>
    <w:uiPriority w:val="0"/>
    <w:pPr>
      <w:ind w:firstLine="420" w:firstLineChars="200"/>
    </w:pPr>
    <w:rPr>
      <w:rFonts w:ascii="Times New Roman" w:hAnsi="Times New Roman" w:cs="Times New Roman"/>
      <w:kern w:val="2"/>
      <w:szCs w:val="20"/>
    </w:rPr>
  </w:style>
  <w:style w:type="character" w:customStyle="1" w:styleId="276">
    <w:name w:val="方案正文段落 Char"/>
    <w:link w:val="275"/>
    <w:qFormat/>
    <w:uiPriority w:val="0"/>
    <w:rPr>
      <w:kern w:val="2"/>
      <w:sz w:val="21"/>
    </w:rPr>
  </w:style>
  <w:style w:type="paragraph" w:customStyle="1" w:styleId="277">
    <w:name w:val="修订1"/>
    <w:qFormat/>
    <w:uiPriority w:val="99"/>
    <w:pPr>
      <w:spacing w:line="360" w:lineRule="auto"/>
      <w:jc w:val="both"/>
    </w:pPr>
    <w:rPr>
      <w:rFonts w:ascii="Times New Roman" w:hAnsi="Times New Roman" w:eastAsia="宋体" w:cs="Times New Roman"/>
      <w:kern w:val="2"/>
      <w:sz w:val="21"/>
      <w:szCs w:val="24"/>
      <w:lang w:val="en-US" w:eastAsia="zh-CN" w:bidi="ar-SA"/>
    </w:rPr>
  </w:style>
  <w:style w:type="paragraph" w:customStyle="1" w:styleId="278">
    <w:name w:val="模板正文"/>
    <w:basedOn w:val="1"/>
    <w:link w:val="279"/>
    <w:qFormat/>
    <w:uiPriority w:val="0"/>
    <w:pPr>
      <w:widowControl w:val="0"/>
      <w:shd w:val="clear" w:color="auto" w:fill="auto"/>
      <w:tabs>
        <w:tab w:val="clear" w:pos="426"/>
      </w:tabs>
      <w:wordWrap w:val="0"/>
      <w:adjustRightInd/>
      <w:snapToGrid/>
      <w:spacing w:beforeLines="50"/>
      <w:ind w:firstLine="200" w:firstLineChars="200"/>
    </w:pPr>
    <w:rPr>
      <w:rFonts w:ascii="Times New Roman" w:hAnsi="Times New Roman" w:eastAsia="仿宋_GB2312" w:cs="Times New Roman"/>
      <w:sz w:val="28"/>
      <w:szCs w:val="21"/>
    </w:rPr>
  </w:style>
  <w:style w:type="character" w:customStyle="1" w:styleId="279">
    <w:name w:val="模板正文 Char"/>
    <w:link w:val="278"/>
    <w:qFormat/>
    <w:uiPriority w:val="0"/>
    <w:rPr>
      <w:rFonts w:eastAsia="仿宋_GB2312"/>
      <w:sz w:val="28"/>
      <w:szCs w:val="21"/>
    </w:rPr>
  </w:style>
  <w:style w:type="paragraph" w:styleId="280">
    <w:name w:val="List Paragraph"/>
    <w:basedOn w:val="1"/>
    <w:qFormat/>
    <w:uiPriority w:val="34"/>
    <w:pPr>
      <w:widowControl w:val="0"/>
      <w:shd w:val="clear" w:color="auto" w:fill="auto"/>
      <w:tabs>
        <w:tab w:val="clear" w:pos="426"/>
      </w:tabs>
      <w:adjustRightInd/>
      <w:snapToGrid/>
      <w:ind w:firstLine="420" w:firstLineChars="200"/>
    </w:pPr>
    <w:rPr>
      <w:rFonts w:ascii="Times New Roman" w:hAnsi="Times New Roman" w:cs="Times New Roman"/>
      <w:kern w:val="2"/>
      <w:sz w:val="24"/>
    </w:rPr>
  </w:style>
  <w:style w:type="paragraph" w:customStyle="1" w:styleId="281">
    <w:name w:val="普通段落"/>
    <w:qFormat/>
    <w:uiPriority w:val="0"/>
    <w:pPr>
      <w:widowControl w:val="0"/>
      <w:adjustRightInd w:val="0"/>
      <w:spacing w:line="360" w:lineRule="auto"/>
      <w:ind w:firstLine="425"/>
      <w:jc w:val="both"/>
      <w:textAlignment w:val="baseline"/>
    </w:pPr>
    <w:rPr>
      <w:rFonts w:ascii="Times New Roman" w:hAnsi="Times New Roman" w:eastAsia="宋体" w:cs="Times New Roman"/>
      <w:sz w:val="24"/>
      <w:lang w:val="en-US" w:eastAsia="zh-CN" w:bidi="ar-SA"/>
    </w:rPr>
  </w:style>
  <w:style w:type="paragraph" w:customStyle="1" w:styleId="282">
    <w:name w:val="表格正文"/>
    <w:basedOn w:val="1"/>
    <w:qFormat/>
    <w:uiPriority w:val="0"/>
    <w:pPr>
      <w:widowControl w:val="0"/>
      <w:shd w:val="clear" w:color="auto" w:fill="auto"/>
      <w:tabs>
        <w:tab w:val="clear" w:pos="426"/>
      </w:tabs>
      <w:adjustRightInd/>
      <w:snapToGrid/>
      <w:ind w:firstLine="200" w:firstLineChars="200"/>
    </w:pPr>
    <w:rPr>
      <w:rFonts w:ascii="Arial" w:hAnsi="Arial" w:eastAsia="仿宋_GB2312" w:cs="Times New Roman"/>
      <w:kern w:val="2"/>
      <w:sz w:val="24"/>
      <w:szCs w:val="22"/>
    </w:rPr>
  </w:style>
  <w:style w:type="paragraph" w:customStyle="1" w:styleId="283">
    <w:name w:val="USE 1"/>
    <w:basedOn w:val="1"/>
    <w:qFormat/>
    <w:uiPriority w:val="99"/>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284">
    <w:name w:val="未处理的提及1"/>
    <w:basedOn w:val="47"/>
    <w:qFormat/>
    <w:uiPriority w:val="99"/>
    <w:rPr>
      <w:color w:val="605E5C"/>
      <w:shd w:val="clear" w:color="auto" w:fill="E1DFDD"/>
    </w:rPr>
  </w:style>
  <w:style w:type="character" w:customStyle="1" w:styleId="285">
    <w:name w:val="标题 2 Char"/>
    <w:basedOn w:val="47"/>
    <w:link w:val="5"/>
    <w:qFormat/>
    <w:uiPriority w:val="0"/>
    <w:rPr>
      <w:rFonts w:ascii="宋体" w:hAnsi="宋体"/>
      <w:b/>
      <w:sz w:val="24"/>
      <w:shd w:val="clear" w:color="auto" w:fill="FFFFFF"/>
    </w:rPr>
  </w:style>
  <w:style w:type="character" w:customStyle="1" w:styleId="286">
    <w:name w:val="正文文本 Char"/>
    <w:basedOn w:val="47"/>
    <w:link w:val="20"/>
    <w:qFormat/>
    <w:uiPriority w:val="0"/>
    <w:rPr>
      <w:rFonts w:ascii="宋体" w:hAnsi="宋体" w:cs="宋体"/>
      <w:b/>
      <w:bCs/>
      <w:sz w:val="24"/>
      <w:szCs w:val="24"/>
      <w:shd w:val="clear" w:color="auto" w:fill="FFFFFF"/>
    </w:rPr>
  </w:style>
  <w:style w:type="character" w:customStyle="1" w:styleId="287">
    <w:name w:val="批注文字 Char"/>
    <w:qFormat/>
    <w:uiPriority w:val="0"/>
    <w:rPr>
      <w:rFonts w:ascii="宋体" w:eastAsia="宋体"/>
      <w:sz w:val="34"/>
      <w:lang w:val="en-US" w:eastAsia="zh-CN" w:bidi="ar-SA"/>
    </w:rPr>
  </w:style>
  <w:style w:type="table" w:customStyle="1" w:styleId="288">
    <w:name w:val="Table Normal1"/>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character" w:customStyle="1" w:styleId="289">
    <w:name w:val="未处理的提及11"/>
    <w:basedOn w:val="47"/>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2.xml"/><Relationship Id="rId22" Type="http://schemas.openxmlformats.org/officeDocument/2006/relationships/customXml" Target="../customXml/item11.xml"/><Relationship Id="rId21" Type="http://schemas.openxmlformats.org/officeDocument/2006/relationships/customXml" Target="../customXml/item10.xml"/><Relationship Id="rId20" Type="http://schemas.openxmlformats.org/officeDocument/2006/relationships/customXml" Target="../customXml/item9.xml"/><Relationship Id="rId2" Type="http://schemas.openxmlformats.org/officeDocument/2006/relationships/settings" Target="settings.xml"/><Relationship Id="rId19" Type="http://schemas.openxmlformats.org/officeDocument/2006/relationships/customXml" Target="../customXml/item8.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66ad7be0-2d16-4cb6-9e77-56e051d444a4}">
  <ds:schemaRefs/>
</ds:datastoreItem>
</file>

<file path=customXml/itemProps11.xml><?xml version="1.0" encoding="utf-8"?>
<ds:datastoreItem xmlns:ds="http://schemas.openxmlformats.org/officeDocument/2006/customXml" ds:itemID="{558f1ee6-bdcb-4676-b8c5-0f914191b0c8}">
  <ds:schemaRefs/>
</ds:datastoreItem>
</file>

<file path=customXml/itemProps12.xml><?xml version="1.0" encoding="utf-8"?>
<ds:datastoreItem xmlns:ds="http://schemas.openxmlformats.org/officeDocument/2006/customXml" ds:itemID="{fc6320b9-590d-4410-8f9d-7e4a7dbc6b29}">
  <ds:schemaRefs/>
</ds:datastoreItem>
</file>

<file path=customXml/itemProps2.xml><?xml version="1.0" encoding="utf-8"?>
<ds:datastoreItem xmlns:ds="http://schemas.openxmlformats.org/officeDocument/2006/customXml" ds:itemID="{5A5421ED-19CD-4C2E-8D97-93D2FE1545D1}">
  <ds:schemaRefs/>
</ds:datastoreItem>
</file>

<file path=customXml/itemProps3.xml><?xml version="1.0" encoding="utf-8"?>
<ds:datastoreItem xmlns:ds="http://schemas.openxmlformats.org/officeDocument/2006/customXml" ds:itemID="{c7a68cb0-e57f-40b6-ac7b-2090e7dd3f33}">
  <ds:schemaRefs/>
</ds:datastoreItem>
</file>

<file path=customXml/itemProps4.xml><?xml version="1.0" encoding="utf-8"?>
<ds:datastoreItem xmlns:ds="http://schemas.openxmlformats.org/officeDocument/2006/customXml" ds:itemID="{b1226c2f-cf83-438d-9fdf-c84fc99d9888}">
  <ds:schemaRefs/>
</ds:datastoreItem>
</file>

<file path=customXml/itemProps5.xml><?xml version="1.0" encoding="utf-8"?>
<ds:datastoreItem xmlns:ds="http://schemas.openxmlformats.org/officeDocument/2006/customXml" ds:itemID="{99130d5c-c60d-471d-a3a1-000cb5eca41f}">
  <ds:schemaRefs/>
</ds:datastoreItem>
</file>

<file path=customXml/itemProps6.xml><?xml version="1.0" encoding="utf-8"?>
<ds:datastoreItem xmlns:ds="http://schemas.openxmlformats.org/officeDocument/2006/customXml" ds:itemID="{8c7aad9b-fd7b-4c98-8412-ce0796e200e0}">
  <ds:schemaRefs/>
</ds:datastoreItem>
</file>

<file path=customXml/itemProps7.xml><?xml version="1.0" encoding="utf-8"?>
<ds:datastoreItem xmlns:ds="http://schemas.openxmlformats.org/officeDocument/2006/customXml" ds:itemID="{b1f40777-8bdd-4584-a307-af99c2681554}">
  <ds:schemaRefs/>
</ds:datastoreItem>
</file>

<file path=customXml/itemProps8.xml><?xml version="1.0" encoding="utf-8"?>
<ds:datastoreItem xmlns:ds="http://schemas.openxmlformats.org/officeDocument/2006/customXml" ds:itemID="{59b92662-c40d-40a6-b9c7-5b1e6063e1bf}">
  <ds:schemaRefs/>
</ds:datastoreItem>
</file>

<file path=customXml/itemProps9.xml><?xml version="1.0" encoding="utf-8"?>
<ds:datastoreItem xmlns:ds="http://schemas.openxmlformats.org/officeDocument/2006/customXml" ds:itemID="{3574f778-224d-46c2-8a01-b259a9cb6fb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64</Pages>
  <Words>34567</Words>
  <Characters>39378</Characters>
  <Paragraphs>1924</Paragraphs>
  <TotalTime>4</TotalTime>
  <ScaleCrop>false</ScaleCrop>
  <LinksUpToDate>false</LinksUpToDate>
  <CharactersWithSpaces>40694</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2018-03-29T02:28:00Z</dcterms:created>
  <dc:creator>Administrator</dc:creator>
  <cp:lastModifiedBy>谁明我非浪子心</cp:lastModifiedBy>
  <cp:lastPrinted>2020-08-17T07:09:00Z</cp:lastPrinted>
  <dcterms:modified xsi:type="dcterms:W3CDTF">2021-11-16T05:11:05Z</dcterms:modified>
  <cp:revision>2594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2C952E18346848578206E21C6D2BE039</vt:lpwstr>
  </property>
</Properties>
</file>