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lear" w:pos="426"/>
        </w:tabs>
      </w:pPr>
    </w:p>
    <w:p>
      <w:pPr>
        <w:tabs>
          <w:tab w:val="clear" w:pos="426"/>
        </w:tabs>
      </w:pPr>
    </w:p>
    <w:p>
      <w:pPr>
        <w:tabs>
          <w:tab w:val="clear" w:pos="426"/>
        </w:tabs>
        <w:jc w:val="right"/>
        <w:rPr>
          <w:b/>
          <w:u w:val="single"/>
        </w:rPr>
      </w:pPr>
      <w:r>
        <w:rPr>
          <w:rFonts w:hint="eastAsia"/>
        </w:rPr>
        <w:t xml:space="preserve">                                                     项目编号：</w:t>
      </w:r>
      <w:r>
        <w:rPr>
          <w:rFonts w:hint="eastAsia"/>
          <w:b/>
          <w:highlight w:val="yellow"/>
          <w:u w:val="single"/>
        </w:rPr>
        <w:t>SSZX2019-133</w:t>
      </w:r>
    </w:p>
    <w:p>
      <w:pPr>
        <w:tabs>
          <w:tab w:val="clear" w:pos="426"/>
        </w:tabs>
      </w:pPr>
    </w:p>
    <w:p>
      <w:pPr>
        <w:tabs>
          <w:tab w:val="clear" w:pos="426"/>
        </w:tabs>
      </w:pPr>
    </w:p>
    <w:p>
      <w:pPr>
        <w:tabs>
          <w:tab w:val="clear" w:pos="426"/>
        </w:tabs>
      </w:pPr>
    </w:p>
    <w:p>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hint="eastAsia" w:cs="Times New Roman"/>
          <w:spacing w:val="26"/>
          <w:kern w:val="2"/>
          <w:sz w:val="72"/>
          <w:szCs w:val="20"/>
        </w:rPr>
        <w:t>深圳市政府采购</w:t>
      </w:r>
    </w:p>
    <w:p>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hint="eastAsia" w:cs="Times New Roman"/>
          <w:spacing w:val="26"/>
          <w:kern w:val="2"/>
          <w:sz w:val="72"/>
          <w:szCs w:val="20"/>
        </w:rPr>
        <w:t>招标文件</w:t>
      </w:r>
    </w:p>
    <w:p>
      <w:pPr>
        <w:tabs>
          <w:tab w:val="clear" w:pos="426"/>
        </w:tabs>
      </w:pPr>
    </w:p>
    <w:p>
      <w:pPr>
        <w:tabs>
          <w:tab w:val="clear" w:pos="426"/>
        </w:tabs>
      </w:pPr>
    </w:p>
    <w:p>
      <w:pPr>
        <w:tabs>
          <w:tab w:val="clear" w:pos="426"/>
        </w:tabs>
      </w:pPr>
    </w:p>
    <w:p>
      <w:pPr>
        <w:tabs>
          <w:tab w:val="clear" w:pos="426"/>
        </w:tabs>
        <w:jc w:val="center"/>
        <w:rPr>
          <w:rFonts w:ascii="黑体" w:hAnsi="Arial" w:eastAsia="黑体" w:cs="Arial"/>
          <w:color w:val="000000"/>
          <w:sz w:val="52"/>
          <w:szCs w:val="52"/>
        </w:rPr>
      </w:pPr>
      <w:r>
        <w:rPr>
          <w:rFonts w:hint="eastAsia" w:ascii="黑体" w:hAnsi="Arial" w:eastAsia="黑体" w:cs="Arial"/>
          <w:color w:val="000000"/>
          <w:sz w:val="52"/>
          <w:szCs w:val="52"/>
        </w:rPr>
        <w:t>【货物类】</w:t>
      </w:r>
    </w:p>
    <w:p>
      <w:pPr>
        <w:tabs>
          <w:tab w:val="clear" w:pos="426"/>
        </w:tabs>
      </w:pPr>
    </w:p>
    <w:p>
      <w:pPr>
        <w:tabs>
          <w:tab w:val="clear" w:pos="426"/>
        </w:tabs>
      </w:pPr>
    </w:p>
    <w:p>
      <w:pPr>
        <w:tabs>
          <w:tab w:val="clear" w:pos="426"/>
        </w:tabs>
      </w:pPr>
    </w:p>
    <w:p>
      <w:pPr>
        <w:tabs>
          <w:tab w:val="clear" w:pos="426"/>
        </w:tabs>
      </w:pPr>
    </w:p>
    <w:p>
      <w:pPr>
        <w:tabs>
          <w:tab w:val="clear" w:pos="426"/>
        </w:tabs>
      </w:pPr>
    </w:p>
    <w:p>
      <w:pPr>
        <w:tabs>
          <w:tab w:val="clear" w:pos="426"/>
        </w:tabs>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rPr>
      </w:pPr>
      <w:r>
        <w:rPr>
          <w:rFonts w:hint="eastAsia" w:cs="Times New Roman"/>
          <w:kern w:val="2"/>
          <w:sz w:val="30"/>
          <w:szCs w:val="20"/>
        </w:rPr>
        <w:t>项目名称：</w:t>
      </w:r>
      <w:r>
        <w:rPr>
          <w:rFonts w:hint="eastAsia" w:cs="Times New Roman"/>
          <w:kern w:val="2"/>
          <w:sz w:val="30"/>
          <w:szCs w:val="20"/>
          <w:u w:val="single"/>
        </w:rPr>
        <w:t xml:space="preserve">  同心外国语学校二期电教平台采购                                                      </w:t>
      </w:r>
      <w:r>
        <w:rPr>
          <w:rFonts w:hint="eastAsia" w:cs="Times New Roman"/>
          <w:kern w:val="2"/>
          <w:sz w:val="30"/>
          <w:szCs w:val="20"/>
        </w:rPr>
        <w:t xml:space="preserve">           </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rPr>
      </w:pPr>
      <w:r>
        <w:rPr>
          <w:rFonts w:hint="eastAsia" w:cs="Times New Roman"/>
          <w:kern w:val="2"/>
          <w:sz w:val="30"/>
          <w:szCs w:val="20"/>
        </w:rPr>
        <w:t>采购人名称：</w:t>
      </w:r>
      <w:r>
        <w:rPr>
          <w:rFonts w:hint="eastAsia" w:cs="Times New Roman"/>
          <w:kern w:val="2"/>
          <w:sz w:val="30"/>
          <w:szCs w:val="20"/>
          <w:u w:val="single"/>
        </w:rPr>
        <w:t xml:space="preserve">  深圳市坪山区同心外国语学校                                                       </w:t>
      </w:r>
      <w:r>
        <w:rPr>
          <w:rFonts w:hint="eastAsia" w:cs="Times New Roman"/>
          <w:kern w:val="2"/>
          <w:sz w:val="30"/>
          <w:szCs w:val="20"/>
        </w:rPr>
        <w:t xml:space="preserve">                                                 </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rPr>
      </w:pPr>
    </w:p>
    <w:p>
      <w:pPr>
        <w:widowControl w:val="0"/>
        <w:shd w:val="clear" w:color="auto" w:fill="auto"/>
        <w:tabs>
          <w:tab w:val="clear" w:pos="426"/>
        </w:tabs>
        <w:adjustRightInd/>
        <w:snapToGrid/>
        <w:spacing w:line="300" w:lineRule="auto"/>
        <w:ind w:left="1498" w:leftChars="142" w:hanging="1200" w:hangingChars="400"/>
      </w:pPr>
      <w:r>
        <w:rPr>
          <w:rFonts w:hint="eastAsia" w:cs="Times New Roman"/>
          <w:kern w:val="2"/>
          <w:sz w:val="30"/>
          <w:szCs w:val="20"/>
        </w:rPr>
        <w:t>采购代理机构名称：</w:t>
      </w:r>
      <w:r>
        <w:rPr>
          <w:rFonts w:hint="eastAsia" w:cs="Times New Roman"/>
          <w:kern w:val="2"/>
          <w:sz w:val="30"/>
          <w:szCs w:val="20"/>
          <w:u w:val="single"/>
        </w:rPr>
        <w:t xml:space="preserve">  深圳市深水水务咨询有限公司                    </w:t>
      </w:r>
      <w:r>
        <w:rPr>
          <w:rFonts w:hint="eastAsia" w:cs="Times New Roman"/>
          <w:kern w:val="2"/>
          <w:sz w:val="30"/>
          <w:szCs w:val="20"/>
        </w:rPr>
        <w:t xml:space="preserve">      </w:t>
      </w:r>
      <w:r>
        <w:rPr>
          <w:rFonts w:hint="eastAsia"/>
        </w:rPr>
        <w:t xml:space="preserve">                               </w:t>
      </w:r>
    </w:p>
    <w:p>
      <w:pPr>
        <w:tabs>
          <w:tab w:val="clear" w:pos="426"/>
        </w:tabs>
        <w:jc w:val="center"/>
        <w:rPr>
          <w:b/>
          <w:sz w:val="32"/>
          <w:szCs w:val="32"/>
        </w:rPr>
      </w:pPr>
      <w:r>
        <w:br w:type="page"/>
      </w:r>
      <w:r>
        <w:rPr>
          <w:rFonts w:hint="eastAsia"/>
          <w:b/>
          <w:sz w:val="32"/>
          <w:szCs w:val="32"/>
        </w:rPr>
        <w:t>目      录</w:t>
      </w:r>
    </w:p>
    <w:p>
      <w:pPr>
        <w:tabs>
          <w:tab w:val="clear" w:pos="426"/>
        </w:tabs>
        <w:jc w:val="center"/>
        <w:rPr>
          <w:sz w:val="32"/>
          <w:szCs w:val="32"/>
        </w:rPr>
      </w:pPr>
    </w:p>
    <w:p>
      <w:pPr>
        <w:pStyle w:val="36"/>
        <w:ind w:left="105"/>
        <w:rPr>
          <w:rFonts w:asciiTheme="minorHAnsi" w:hAnsiTheme="minorHAnsi" w:eastAsiaTheme="minorEastAsia" w:cstheme="minorBidi"/>
          <w:smallCaps w:val="0"/>
          <w:kern w:val="2"/>
          <w:sz w:val="21"/>
          <w:szCs w:val="22"/>
        </w:rPr>
      </w:pPr>
      <w:r>
        <w:rPr>
          <w:smallCaps w:val="0"/>
        </w:rPr>
        <w:fldChar w:fldCharType="begin"/>
      </w:r>
      <w:r>
        <w:rPr>
          <w:smallCaps w:val="0"/>
        </w:rPr>
        <w:instrText xml:space="preserve"> TOC \o "1-2" \h \z \u </w:instrText>
      </w:r>
      <w:r>
        <w:rPr>
          <w:smallCaps w:val="0"/>
        </w:rPr>
        <w:fldChar w:fldCharType="separate"/>
      </w:r>
      <w:r>
        <w:fldChar w:fldCharType="begin"/>
      </w:r>
      <w:r>
        <w:instrText xml:space="preserve"> HYPERLINK \l "_Toc3628653" </w:instrText>
      </w:r>
      <w:r>
        <w:fldChar w:fldCharType="separate"/>
      </w:r>
      <w:r>
        <w:rPr>
          <w:rStyle w:val="52"/>
        </w:rPr>
        <w:t>警示条款</w:t>
      </w:r>
      <w:r>
        <w:tab/>
      </w:r>
      <w:r>
        <w:fldChar w:fldCharType="begin"/>
      </w:r>
      <w:r>
        <w:instrText xml:space="preserve"> PAGEREF _Toc3628653 \h </w:instrText>
      </w:r>
      <w:r>
        <w:fldChar w:fldCharType="separate"/>
      </w:r>
      <w:r>
        <w:t>1</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"_Toc3628654" </w:instrText>
      </w:r>
      <w:r>
        <w:fldChar w:fldCharType="separate"/>
      </w:r>
      <w:r>
        <w:rPr>
          <w:rStyle w:val="52"/>
        </w:rPr>
        <w:t>项目关键信息</w:t>
      </w:r>
      <w:r>
        <w:tab/>
      </w:r>
      <w:r>
        <w:fldChar w:fldCharType="begin"/>
      </w:r>
      <w:r>
        <w:instrText xml:space="preserve"> PAGEREF _Toc3628654 \h </w:instrText>
      </w:r>
      <w:r>
        <w:fldChar w:fldCharType="separate"/>
      </w:r>
      <w:r>
        <w:t>2</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"_Toc3628655" </w:instrText>
      </w:r>
      <w:r>
        <w:fldChar w:fldCharType="separate"/>
      </w:r>
      <w:r>
        <w:rPr>
          <w:rStyle w:val="52"/>
        </w:rPr>
        <w:t>资格、符合性评审条款</w:t>
      </w:r>
      <w:r>
        <w:tab/>
      </w:r>
      <w:r>
        <w:fldChar w:fldCharType="begin"/>
      </w:r>
      <w:r>
        <w:instrText xml:space="preserve"> PAGEREF _Toc3628655 \h </w:instrText>
      </w:r>
      <w:r>
        <w:fldChar w:fldCharType="separate"/>
      </w:r>
      <w:r>
        <w:t>4</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"_Toc3628656" </w:instrText>
      </w:r>
      <w:r>
        <w:fldChar w:fldCharType="separate"/>
      </w:r>
      <w:r>
        <w:rPr>
          <w:rStyle w:val="52"/>
        </w:rPr>
        <w:t>评标信息</w:t>
      </w:r>
      <w:r>
        <w:tab/>
      </w:r>
      <w:r>
        <w:fldChar w:fldCharType="begin"/>
      </w:r>
      <w:r>
        <w:instrText xml:space="preserve"> PAGEREF _Toc3628656 \h </w:instrText>
      </w:r>
      <w:r>
        <w:fldChar w:fldCharType="separate"/>
      </w:r>
      <w:r>
        <w:t>5</w:t>
      </w:r>
      <w:r>
        <w:fldChar w:fldCharType="end"/>
      </w:r>
      <w:r>
        <w:fldChar w:fldCharType="end"/>
      </w:r>
    </w:p>
    <w:p>
      <w:pPr>
        <w:pStyle w:val="31"/>
        <w:rPr>
          <w:rFonts w:asciiTheme="minorHAnsi" w:hAnsiTheme="minorHAnsi" w:eastAsiaTheme="minorEastAsia" w:cstheme="minorBidi"/>
          <w:b w:val="0"/>
          <w:bCs w:val="0"/>
          <w:caps w:val="0"/>
          <w:kern w:val="2"/>
          <w:sz w:val="21"/>
          <w:szCs w:val="22"/>
        </w:rPr>
      </w:pPr>
      <w:r>
        <w:fldChar w:fldCharType="begin"/>
      </w:r>
      <w:r>
        <w:instrText xml:space="preserve"> HYPERLINK \l "_Toc3628657" </w:instrText>
      </w:r>
      <w:r>
        <w:fldChar w:fldCharType="separate"/>
      </w:r>
      <w:r>
        <w:rPr>
          <w:rStyle w:val="52"/>
        </w:rPr>
        <w:t>第一册</w:t>
      </w:r>
      <w:r>
        <w:rPr>
          <w:rStyle w:val="52"/>
          <w:rFonts w:hint="default"/>
        </w:rPr>
        <w:t xml:space="preserve">  </w:t>
      </w:r>
      <w:r>
        <w:rPr>
          <w:rStyle w:val="52"/>
        </w:rPr>
        <w:t>专用条款</w:t>
      </w:r>
      <w:r>
        <w:tab/>
      </w:r>
      <w:r>
        <w:fldChar w:fldCharType="begin"/>
      </w:r>
      <w:r>
        <w:instrText xml:space="preserve"> PAGEREF _Toc3628657 \h </w:instrText>
      </w:r>
      <w:r>
        <w:fldChar w:fldCharType="separate"/>
      </w:r>
      <w:r>
        <w:t>11</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"_Toc3628658" </w:instrText>
      </w:r>
      <w:r>
        <w:fldChar w:fldCharType="separate"/>
      </w:r>
      <w:r>
        <w:rPr>
          <w:rStyle w:val="52"/>
        </w:rPr>
        <w:t>第一章</w:t>
      </w:r>
      <w:r>
        <w:rPr>
          <w:rStyle w:val="52"/>
          <w:rFonts w:hint="default"/>
        </w:rPr>
        <w:t xml:space="preserve"> </w:t>
      </w:r>
      <w:r>
        <w:rPr>
          <w:rStyle w:val="52"/>
        </w:rPr>
        <w:t>采购公告</w:t>
      </w:r>
      <w:r>
        <w:tab/>
      </w:r>
      <w:r>
        <w:fldChar w:fldCharType="begin"/>
      </w:r>
      <w:r>
        <w:instrText xml:space="preserve"> PAGEREF _Toc3628658 \h </w:instrText>
      </w:r>
      <w:r>
        <w:fldChar w:fldCharType="separate"/>
      </w:r>
      <w:r>
        <w:t>11</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"_Toc3628659" </w:instrText>
      </w:r>
      <w:r>
        <w:fldChar w:fldCharType="separate"/>
      </w:r>
      <w:r>
        <w:rPr>
          <w:rStyle w:val="52"/>
        </w:rPr>
        <w:t>第二章</w:t>
      </w:r>
      <w:r>
        <w:rPr>
          <w:rStyle w:val="52"/>
          <w:rFonts w:hint="default"/>
        </w:rPr>
        <w:t xml:space="preserve"> </w:t>
      </w:r>
      <w:r>
        <w:rPr>
          <w:rStyle w:val="52"/>
        </w:rPr>
        <w:t>投标须知前附表</w:t>
      </w:r>
      <w:r>
        <w:tab/>
      </w:r>
      <w:r>
        <w:fldChar w:fldCharType="begin"/>
      </w:r>
      <w:r>
        <w:instrText xml:space="preserve"> PAGEREF _Toc3628659 \h </w:instrText>
      </w:r>
      <w:r>
        <w:fldChar w:fldCharType="separate"/>
      </w:r>
      <w:r>
        <w:t>15</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"_Toc3628660" </w:instrText>
      </w:r>
      <w:r>
        <w:fldChar w:fldCharType="separate"/>
      </w:r>
      <w:r>
        <w:rPr>
          <w:rStyle w:val="52"/>
        </w:rPr>
        <w:t>第三章</w:t>
      </w:r>
      <w:r>
        <w:rPr>
          <w:rStyle w:val="52"/>
          <w:rFonts w:hint="default"/>
        </w:rPr>
        <w:t xml:space="preserve"> </w:t>
      </w:r>
      <w:r>
        <w:rPr>
          <w:rStyle w:val="52"/>
        </w:rPr>
        <w:t>项目需求</w:t>
      </w:r>
      <w:r>
        <w:tab/>
      </w:r>
      <w:r>
        <w:fldChar w:fldCharType="begin"/>
      </w:r>
      <w:r>
        <w:instrText xml:space="preserve"> PAGEREF _Toc3628660 \h </w:instrText>
      </w:r>
      <w:r>
        <w:fldChar w:fldCharType="separate"/>
      </w:r>
      <w:r>
        <w:t>16</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"_Toc3628661" </w:instrText>
      </w:r>
      <w:r>
        <w:fldChar w:fldCharType="separate"/>
      </w:r>
      <w:r>
        <w:rPr>
          <w:rStyle w:val="52"/>
        </w:rPr>
        <w:t>第四章</w:t>
      </w:r>
      <w:r>
        <w:rPr>
          <w:rStyle w:val="52"/>
          <w:rFonts w:hint="default"/>
        </w:rPr>
        <w:t xml:space="preserve"> </w:t>
      </w:r>
      <w:r>
        <w:rPr>
          <w:rStyle w:val="52"/>
        </w:rPr>
        <w:t>政府采购合同的签订、履约及验收</w:t>
      </w:r>
      <w:r>
        <w:tab/>
      </w:r>
      <w:r>
        <w:fldChar w:fldCharType="begin"/>
      </w:r>
      <w:r>
        <w:instrText xml:space="preserve"> PAGEREF _Toc3628661 \h </w:instrText>
      </w:r>
      <w:r>
        <w:fldChar w:fldCharType="separate"/>
      </w:r>
      <w:r>
        <w:t>25</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"_Toc3628662" </w:instrText>
      </w:r>
      <w:r>
        <w:fldChar w:fldCharType="separate"/>
      </w:r>
      <w:r>
        <w:rPr>
          <w:rStyle w:val="52"/>
        </w:rPr>
        <w:t>第五章</w:t>
      </w:r>
      <w:r>
        <w:rPr>
          <w:rStyle w:val="52"/>
          <w:rFonts w:hint="default"/>
        </w:rPr>
        <w:t xml:space="preserve"> </w:t>
      </w:r>
      <w:r>
        <w:rPr>
          <w:rStyle w:val="52"/>
        </w:rPr>
        <w:t>投标文件格式、附件</w:t>
      </w:r>
      <w:r>
        <w:tab/>
      </w:r>
      <w:r>
        <w:fldChar w:fldCharType="begin"/>
      </w:r>
      <w:r>
        <w:instrText xml:space="preserve"> PAGEREF _Toc3628662 \h </w:instrText>
      </w:r>
      <w:r>
        <w:fldChar w:fldCharType="separate"/>
      </w:r>
      <w:r>
        <w:t>31</w:t>
      </w:r>
      <w:r>
        <w:fldChar w:fldCharType="end"/>
      </w:r>
      <w:r>
        <w:fldChar w:fldCharType="end"/>
      </w:r>
    </w:p>
    <w:p>
      <w:pPr>
        <w:pStyle w:val="31"/>
        <w:rPr>
          <w:rFonts w:asciiTheme="minorHAnsi" w:hAnsiTheme="minorHAnsi" w:eastAsiaTheme="minorEastAsia" w:cstheme="minorBidi"/>
          <w:b w:val="0"/>
          <w:bCs w:val="0"/>
          <w:caps w:val="0"/>
          <w:kern w:val="2"/>
          <w:sz w:val="21"/>
          <w:szCs w:val="22"/>
        </w:rPr>
      </w:pPr>
      <w:r>
        <w:fldChar w:fldCharType="begin"/>
      </w:r>
      <w:r>
        <w:instrText xml:space="preserve"> HYPERLINK \l "_Toc3628663" </w:instrText>
      </w:r>
      <w:r>
        <w:fldChar w:fldCharType="separate"/>
      </w:r>
      <w:r>
        <w:rPr>
          <w:rStyle w:val="52"/>
        </w:rPr>
        <w:t>第二册</w:t>
      </w:r>
      <w:r>
        <w:rPr>
          <w:rStyle w:val="52"/>
          <w:rFonts w:hint="default"/>
        </w:rPr>
        <w:t xml:space="preserve">  </w:t>
      </w:r>
      <w:r>
        <w:rPr>
          <w:rStyle w:val="52"/>
        </w:rPr>
        <w:t>通用条款</w:t>
      </w:r>
      <w:r>
        <w:tab/>
      </w:r>
      <w:r>
        <w:fldChar w:fldCharType="begin"/>
      </w:r>
      <w:r>
        <w:instrText xml:space="preserve"> PAGEREF _Toc3628663 \h </w:instrText>
      </w:r>
      <w:r>
        <w:fldChar w:fldCharType="separate"/>
      </w:r>
      <w:r>
        <w:t>61</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"_Toc3628664" </w:instrText>
      </w:r>
      <w:r>
        <w:fldChar w:fldCharType="separate"/>
      </w:r>
      <w:r>
        <w:rPr>
          <w:rStyle w:val="52"/>
        </w:rPr>
        <w:t>第一章</w:t>
      </w:r>
      <w:r>
        <w:rPr>
          <w:rStyle w:val="52"/>
          <w:rFonts w:hint="default"/>
        </w:rPr>
        <w:t xml:space="preserve"> </w:t>
      </w:r>
      <w:r>
        <w:rPr>
          <w:rStyle w:val="52"/>
        </w:rPr>
        <w:t>总则</w:t>
      </w:r>
      <w:r>
        <w:tab/>
      </w:r>
      <w:r>
        <w:fldChar w:fldCharType="begin"/>
      </w:r>
      <w:r>
        <w:instrText xml:space="preserve"> PAGEREF _Toc3628664 \h </w:instrText>
      </w:r>
      <w:r>
        <w:fldChar w:fldCharType="separate"/>
      </w:r>
      <w:r>
        <w:t>61</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"_Toc3628665" </w:instrText>
      </w:r>
      <w:r>
        <w:fldChar w:fldCharType="separate"/>
      </w:r>
      <w:r>
        <w:rPr>
          <w:rStyle w:val="52"/>
        </w:rPr>
        <w:t>第二章</w:t>
      </w:r>
      <w:r>
        <w:rPr>
          <w:rStyle w:val="52"/>
          <w:rFonts w:hint="default"/>
        </w:rPr>
        <w:t xml:space="preserve"> </w:t>
      </w:r>
      <w:r>
        <w:rPr>
          <w:rStyle w:val="52"/>
        </w:rPr>
        <w:t>招标文件</w:t>
      </w:r>
      <w:r>
        <w:tab/>
      </w:r>
      <w:r>
        <w:fldChar w:fldCharType="begin"/>
      </w:r>
      <w:r>
        <w:instrText xml:space="preserve"> PAGEREF _Toc3628665 \h </w:instrText>
      </w:r>
      <w:r>
        <w:fldChar w:fldCharType="separate"/>
      </w:r>
      <w:r>
        <w:t>63</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"_Toc3628666" </w:instrText>
      </w:r>
      <w:r>
        <w:fldChar w:fldCharType="separate"/>
      </w:r>
      <w:r>
        <w:rPr>
          <w:rStyle w:val="52"/>
        </w:rPr>
        <w:t>第三章</w:t>
      </w:r>
      <w:r>
        <w:rPr>
          <w:rStyle w:val="52"/>
          <w:rFonts w:hint="default"/>
        </w:rPr>
        <w:t xml:space="preserve"> </w:t>
      </w:r>
      <w:r>
        <w:rPr>
          <w:rStyle w:val="52"/>
        </w:rPr>
        <w:t>投标文件的编制与递交</w:t>
      </w:r>
      <w:r>
        <w:tab/>
      </w:r>
      <w:r>
        <w:fldChar w:fldCharType="begin"/>
      </w:r>
      <w:r>
        <w:instrText xml:space="preserve"> PAGEREF _Toc3628666 \h </w:instrText>
      </w:r>
      <w:r>
        <w:fldChar w:fldCharType="separate"/>
      </w:r>
      <w:r>
        <w:t>65</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"_Toc3628667" </w:instrText>
      </w:r>
      <w:r>
        <w:fldChar w:fldCharType="separate"/>
      </w:r>
      <w:r>
        <w:rPr>
          <w:rStyle w:val="52"/>
        </w:rPr>
        <w:t>第四章</w:t>
      </w:r>
      <w:r>
        <w:rPr>
          <w:rStyle w:val="52"/>
          <w:rFonts w:hint="default"/>
        </w:rPr>
        <w:t xml:space="preserve"> </w:t>
      </w:r>
      <w:r>
        <w:rPr>
          <w:rStyle w:val="52"/>
        </w:rPr>
        <w:t>开标</w:t>
      </w:r>
      <w:r>
        <w:tab/>
      </w:r>
      <w:r>
        <w:fldChar w:fldCharType="begin"/>
      </w:r>
      <w:r>
        <w:instrText xml:space="preserve"> PAGEREF _Toc3628667 \h </w:instrText>
      </w:r>
      <w:r>
        <w:fldChar w:fldCharType="separate"/>
      </w:r>
      <w:r>
        <w:t>69</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"_Toc3628668" </w:instrText>
      </w:r>
      <w:r>
        <w:fldChar w:fldCharType="separate"/>
      </w:r>
      <w:r>
        <w:rPr>
          <w:rStyle w:val="52"/>
        </w:rPr>
        <w:t>第五章</w:t>
      </w:r>
      <w:r>
        <w:rPr>
          <w:rStyle w:val="52"/>
          <w:rFonts w:hint="default"/>
        </w:rPr>
        <w:t xml:space="preserve"> </w:t>
      </w:r>
      <w:r>
        <w:rPr>
          <w:rStyle w:val="52"/>
        </w:rPr>
        <w:t>评标要求</w:t>
      </w:r>
      <w:r>
        <w:tab/>
      </w:r>
      <w:r>
        <w:fldChar w:fldCharType="begin"/>
      </w:r>
      <w:r>
        <w:instrText xml:space="preserve"> PAGEREF _Toc3628668 \h </w:instrText>
      </w:r>
      <w:r>
        <w:fldChar w:fldCharType="separate"/>
      </w:r>
      <w:r>
        <w:t>70</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"_Toc3628669" </w:instrText>
      </w:r>
      <w:r>
        <w:fldChar w:fldCharType="separate"/>
      </w:r>
      <w:r>
        <w:rPr>
          <w:rStyle w:val="52"/>
        </w:rPr>
        <w:t>第六章</w:t>
      </w:r>
      <w:r>
        <w:rPr>
          <w:rStyle w:val="52"/>
          <w:rFonts w:hint="default"/>
        </w:rPr>
        <w:t xml:space="preserve"> </w:t>
      </w:r>
      <w:r>
        <w:rPr>
          <w:rStyle w:val="52"/>
        </w:rPr>
        <w:t>评标程序及评标方法</w:t>
      </w:r>
      <w:r>
        <w:tab/>
      </w:r>
      <w:r>
        <w:fldChar w:fldCharType="begin"/>
      </w:r>
      <w:r>
        <w:instrText xml:space="preserve"> PAGEREF _Toc3628669 \h </w:instrText>
      </w:r>
      <w:r>
        <w:fldChar w:fldCharType="separate"/>
      </w:r>
      <w:r>
        <w:t>70</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"_Toc3628670" </w:instrText>
      </w:r>
      <w:r>
        <w:fldChar w:fldCharType="separate"/>
      </w:r>
      <w:r>
        <w:rPr>
          <w:rStyle w:val="52"/>
        </w:rPr>
        <w:t>第七章</w:t>
      </w:r>
      <w:r>
        <w:rPr>
          <w:rStyle w:val="52"/>
          <w:rFonts w:hint="default"/>
        </w:rPr>
        <w:t xml:space="preserve"> </w:t>
      </w:r>
      <w:r>
        <w:rPr>
          <w:rStyle w:val="52"/>
        </w:rPr>
        <w:t>定标及公示</w:t>
      </w:r>
      <w:r>
        <w:tab/>
      </w:r>
      <w:r>
        <w:fldChar w:fldCharType="begin"/>
      </w:r>
      <w:r>
        <w:instrText xml:space="preserve"> PAGEREF _Toc3628670 \h </w:instrText>
      </w:r>
      <w:r>
        <w:fldChar w:fldCharType="separate"/>
      </w:r>
      <w:r>
        <w:t>74</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"_Toc3628671" </w:instrText>
      </w:r>
      <w:r>
        <w:fldChar w:fldCharType="separate"/>
      </w:r>
      <w:r>
        <w:rPr>
          <w:rStyle w:val="52"/>
        </w:rPr>
        <w:t>第八章</w:t>
      </w:r>
      <w:r>
        <w:rPr>
          <w:rStyle w:val="52"/>
          <w:rFonts w:hint="default"/>
        </w:rPr>
        <w:t xml:space="preserve"> </w:t>
      </w:r>
      <w:r>
        <w:rPr>
          <w:rStyle w:val="52"/>
        </w:rPr>
        <w:t>公开招标失败的后续处理</w:t>
      </w:r>
      <w:r>
        <w:tab/>
      </w:r>
      <w:r>
        <w:fldChar w:fldCharType="begin"/>
      </w:r>
      <w:r>
        <w:instrText xml:space="preserve"> PAGEREF _Toc3628671 \h </w:instrText>
      </w:r>
      <w:r>
        <w:fldChar w:fldCharType="separate"/>
      </w:r>
      <w:r>
        <w:t>75</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"_Toc3628672" </w:instrText>
      </w:r>
      <w:r>
        <w:fldChar w:fldCharType="separate"/>
      </w:r>
      <w:r>
        <w:rPr>
          <w:rStyle w:val="52"/>
        </w:rPr>
        <w:t>第九章</w:t>
      </w:r>
      <w:r>
        <w:rPr>
          <w:rStyle w:val="52"/>
          <w:rFonts w:hint="default"/>
        </w:rPr>
        <w:t xml:space="preserve"> </w:t>
      </w:r>
      <w:r>
        <w:rPr>
          <w:rStyle w:val="52"/>
        </w:rPr>
        <w:t>合同的授予与备案</w:t>
      </w:r>
      <w:r>
        <w:tab/>
      </w:r>
      <w:r>
        <w:fldChar w:fldCharType="begin"/>
      </w:r>
      <w:r>
        <w:instrText xml:space="preserve"> PAGEREF _Toc3628672 \h </w:instrText>
      </w:r>
      <w:r>
        <w:fldChar w:fldCharType="separate"/>
      </w:r>
      <w:r>
        <w:t>78</w:t>
      </w:r>
      <w:r>
        <w:fldChar w:fldCharType="end"/>
      </w:r>
      <w:r>
        <w:fldChar w:fldCharType="end"/>
      </w:r>
    </w:p>
    <w:p>
      <w:pPr>
        <w:pStyle w:val="36"/>
        <w:ind w:left="105"/>
        <w:rPr>
          <w:rFonts w:asciiTheme="minorHAnsi" w:hAnsiTheme="minorHAnsi" w:eastAsiaTheme="minorEastAsia" w:cstheme="minorBidi"/>
          <w:smallCaps w:val="0"/>
          <w:kern w:val="2"/>
          <w:sz w:val="21"/>
          <w:szCs w:val="22"/>
        </w:rPr>
      </w:pPr>
      <w:r>
        <w:fldChar w:fldCharType="begin"/>
      </w:r>
      <w:r>
        <w:instrText xml:space="preserve"> HYPERLINK \l "_Toc3628673" </w:instrText>
      </w:r>
      <w:r>
        <w:fldChar w:fldCharType="separate"/>
      </w:r>
      <w:r>
        <w:rPr>
          <w:rStyle w:val="52"/>
        </w:rPr>
        <w:t>第十章</w:t>
      </w:r>
      <w:r>
        <w:rPr>
          <w:rStyle w:val="52"/>
          <w:rFonts w:hint="default"/>
        </w:rPr>
        <w:t xml:space="preserve"> </w:t>
      </w:r>
      <w:r>
        <w:rPr>
          <w:rStyle w:val="52"/>
        </w:rPr>
        <w:t>质疑受理</w:t>
      </w:r>
      <w:r>
        <w:tab/>
      </w:r>
      <w:r>
        <w:fldChar w:fldCharType="begin"/>
      </w:r>
      <w:r>
        <w:instrText xml:space="preserve"> PAGEREF _Toc3628673 \h </w:instrText>
      </w:r>
      <w:r>
        <w:fldChar w:fldCharType="separate"/>
      </w:r>
      <w:r>
        <w:t>78</w:t>
      </w:r>
      <w:r>
        <w:fldChar w:fldCharType="end"/>
      </w:r>
      <w:r>
        <w:fldChar w:fldCharType="end"/>
      </w:r>
    </w:p>
    <w:p>
      <w:pPr>
        <w:pStyle w:val="31"/>
        <w:rPr>
          <w:rFonts w:asciiTheme="minorHAnsi" w:hAnsiTheme="minorHAnsi" w:eastAsiaTheme="minorEastAsia" w:cstheme="minorBidi"/>
          <w:b w:val="0"/>
          <w:bCs w:val="0"/>
          <w:caps w:val="0"/>
          <w:kern w:val="2"/>
          <w:sz w:val="21"/>
          <w:szCs w:val="22"/>
        </w:rPr>
      </w:pPr>
      <w:r>
        <w:fldChar w:fldCharType="begin"/>
      </w:r>
      <w:r>
        <w:instrText xml:space="preserve"> HYPERLINK \l "_Toc3628674" </w:instrText>
      </w:r>
      <w:r>
        <w:fldChar w:fldCharType="separate"/>
      </w:r>
      <w:r>
        <w:rPr>
          <w:rStyle w:val="52"/>
        </w:rPr>
        <w:t>招标代理服务取费说明</w:t>
      </w:r>
      <w:r>
        <w:tab/>
      </w:r>
      <w:r>
        <w:fldChar w:fldCharType="begin"/>
      </w:r>
      <w:r>
        <w:instrText xml:space="preserve"> PAGEREF _Toc3628674 \h </w:instrText>
      </w:r>
      <w:r>
        <w:fldChar w:fldCharType="separate"/>
      </w:r>
      <w:r>
        <w:t>80</w:t>
      </w:r>
      <w:r>
        <w:fldChar w:fldCharType="end"/>
      </w:r>
      <w:r>
        <w:fldChar w:fldCharType="end"/>
      </w:r>
    </w:p>
    <w:p>
      <w:pPr>
        <w:tabs>
          <w:tab w:val="right" w:leader="dot" w:pos="8820"/>
          <w:tab w:val="right" w:leader="dot" w:pos="9240"/>
          <w:tab w:val="clear" w:pos="426"/>
        </w:tabs>
      </w:pPr>
      <w:r>
        <w:rPr>
          <w:smallCaps/>
          <w:sz w:val="28"/>
        </w:rPr>
        <w:fldChar w:fldCharType="end"/>
      </w:r>
    </w:p>
    <w:p>
      <w:pPr>
        <w:tabs>
          <w:tab w:val="clear" w:pos="426"/>
        </w:tabs>
        <w:sectPr>
          <w:footerReference r:id="rId3" w:type="even"/>
          <w:pgSz w:w="11906" w:h="16838"/>
          <w:pgMar w:top="1134" w:right="1700" w:bottom="1134" w:left="1418" w:header="851" w:footer="992" w:gutter="0"/>
          <w:pgNumType w:start="0"/>
          <w:cols w:space="425" w:num="1"/>
          <w:titlePg/>
          <w:docGrid w:linePitch="462" w:charSpace="0"/>
        </w:sectPr>
      </w:pPr>
    </w:p>
    <w:p>
      <w:pPr>
        <w:pStyle w:val="33"/>
        <w:tabs>
          <w:tab w:val="clear" w:pos="426"/>
        </w:tabs>
        <w:rPr>
          <w:sz w:val="30"/>
          <w:szCs w:val="30"/>
        </w:rPr>
      </w:pPr>
      <w:bookmarkStart w:id="0" w:name="_Toc3628653"/>
      <w:bookmarkStart w:id="1" w:name="_Toc432592808"/>
      <w:r>
        <w:rPr>
          <w:rFonts w:hint="eastAsia"/>
          <w:sz w:val="30"/>
          <w:szCs w:val="30"/>
        </w:rPr>
        <w:t>警示条款</w:t>
      </w:r>
      <w:bookmarkEnd w:id="0"/>
    </w:p>
    <w:p>
      <w:pPr>
        <w:ind w:firstLine="560" w:firstLineChars="20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ind w:firstLine="560" w:firstLineChars="200"/>
        <w:rPr>
          <w:sz w:val="28"/>
          <w:szCs w:val="28"/>
        </w:rPr>
      </w:pPr>
      <w:r>
        <w:rPr>
          <w:rFonts w:hint="eastAsia"/>
          <w:sz w:val="28"/>
          <w:szCs w:val="28"/>
        </w:rPr>
        <w:t>（一）在采购活动中应当回避而未回避的；</w:t>
      </w:r>
    </w:p>
    <w:p>
      <w:pPr>
        <w:ind w:firstLine="560" w:firstLineChars="200"/>
        <w:rPr>
          <w:color w:val="000000" w:themeColor="text1"/>
          <w:sz w:val="28"/>
          <w:szCs w:val="28"/>
          <w:highlight w:val="none"/>
          <w14:textFill>
            <w14:solidFill>
              <w14:schemeClr w14:val="tx1"/>
            </w14:solidFill>
          </w14:textFill>
        </w:rPr>
      </w:pPr>
      <w:r>
        <w:rPr>
          <w:rFonts w:hint="eastAsia"/>
          <w:sz w:val="28"/>
          <w:szCs w:val="28"/>
        </w:rPr>
        <w:t>（二</w:t>
      </w:r>
      <w:r>
        <w:rPr>
          <w:rFonts w:hint="eastAsia"/>
          <w:color w:val="000000" w:themeColor="text1"/>
          <w:sz w:val="28"/>
          <w:szCs w:val="28"/>
          <w:highlight w:val="none"/>
          <w14:textFill>
            <w14:solidFill>
              <w14:schemeClr w14:val="tx1"/>
            </w14:solidFill>
          </w14:textFill>
        </w:rPr>
        <w:t>）未按本条例规定签订、履行采购合同，造成严重后果的；</w:t>
      </w:r>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（三）隐瞒真实情况，提供虚假资料的；</w:t>
      </w:r>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（四）以非法手段排斥其他供应商参与竞争的；</w:t>
      </w:r>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（五）与其他采购参加人串通投标的；</w:t>
      </w:r>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（六）恶意投诉的；</w:t>
      </w:r>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（七）向采购项目相关人行贿或者提供其他不当利益的；</w:t>
      </w:r>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（八）阻碍、抗拒主管部门监督检查的；</w:t>
      </w:r>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（九）其他违反本条例规定的行为。</w:t>
      </w:r>
    </w:p>
    <w:p>
      <w:pPr>
        <w:ind w:firstLine="560" w:firstLineChars="200"/>
        <w:rPr>
          <w:color w:val="000000" w:themeColor="text1"/>
          <w:sz w:val="28"/>
          <w:szCs w:val="28"/>
          <w:highlight w:val="none"/>
          <w14:textFill>
            <w14:solidFill>
              <w14:schemeClr w14:val="tx1"/>
            </w14:solidFill>
          </w14:textFill>
        </w:rPr>
      </w:pPr>
    </w:p>
    <w:p>
      <w:pPr>
        <w:ind w:firstLine="560" w:firstLineChars="200"/>
        <w:rPr>
          <w:color w:val="000000" w:themeColor="text1"/>
          <w:sz w:val="28"/>
          <w:szCs w:val="28"/>
          <w:highlight w:val="none"/>
          <w14:textFill>
            <w14:solidFill>
              <w14:schemeClr w14:val="tx1"/>
            </w14:solidFill>
          </w14:textFill>
        </w:rPr>
      </w:pP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r>
        <w:rPr>
          <w:rFonts w:ascii="Cambria" w:hAnsi="Cambria" w:cs="Times New Roman"/>
          <w:b/>
          <w:bCs/>
          <w:color w:val="000000" w:themeColor="text1"/>
          <w:kern w:val="28"/>
          <w:sz w:val="28"/>
          <w:szCs w:val="32"/>
          <w:highlight w:val="none"/>
          <w14:textFill>
            <w14:solidFill>
              <w14:schemeClr w14:val="tx1"/>
            </w14:solidFill>
          </w14:textFill>
        </w:rPr>
        <w:br w:type="page"/>
      </w: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bookmarkStart w:id="2" w:name="_Toc3628654"/>
      <w:r>
        <w:rPr>
          <w:rFonts w:hint="eastAsia"/>
          <w:color w:val="000000" w:themeColor="text1"/>
          <w:highlight w:val="none"/>
          <w14:textFill>
            <w14:solidFill>
              <w14:schemeClr w14:val="tx1"/>
            </w14:solidFill>
          </w14:textFill>
        </w:rPr>
        <w:t>项目关键信息</w:t>
      </w:r>
      <w:bookmarkEnd w:id="1"/>
      <w:bookmarkEnd w:id="2"/>
    </w:p>
    <w:tbl>
      <w:tblPr>
        <w:tblStyle w:val="4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6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项目编号</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SSZX2019-133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项目名称</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同心外国语学校二期电教平台采购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采购方式</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货币类型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预算金额</w:t>
            </w:r>
          </w:p>
        </w:tc>
        <w:tc>
          <w:tcPr>
            <w:tcW w:w="624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eastAsia="微软雅黑"/>
                <w:bCs/>
                <w:color w:val="000000" w:themeColor="text1"/>
                <w:szCs w:val="21"/>
                <w:highlight w:val="none"/>
                <w14:textFill>
                  <w14:solidFill>
                    <w14:schemeClr w14:val="tx1"/>
                  </w14:solidFill>
                </w14:textFill>
              </w:rPr>
              <w:t>¥2,460,000.00</w:t>
            </w:r>
            <w:r>
              <w:rPr>
                <w:rFonts w:hint="eastAsia"/>
                <w:bCs/>
                <w:color w:val="000000" w:themeColor="text1"/>
                <w:szCs w:val="21"/>
                <w:highlight w:val="none"/>
                <w14:textFill>
                  <w14:solidFill>
                    <w14:schemeClr w14:val="tx1"/>
                  </w14:solidFill>
                </w14:textFill>
              </w:rPr>
              <w:t>元（人民币贰佰肆拾陆万元整）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投标保证金</w:t>
            </w:r>
          </w:p>
        </w:tc>
        <w:tc>
          <w:tcPr>
            <w:tcW w:w="6244" w:type="dxa"/>
            <w:vAlign w:val="center"/>
          </w:tcPr>
          <w:p>
            <w:pPr>
              <w:tabs>
                <w:tab w:val="clear" w:pos="426"/>
              </w:tabs>
              <w:adjustRightInd/>
              <w:snapToGrid/>
              <w:spacing w:line="240" w:lineRule="auto"/>
              <w:rPr>
                <w:snapToGrid w:val="0"/>
                <w:color w:val="000000" w:themeColor="text1"/>
                <w:szCs w:val="21"/>
                <w:highlight w:val="none"/>
                <w:u w:val="single"/>
                <w:lang w:val="zh-CN"/>
                <w14:textFill>
                  <w14:solidFill>
                    <w14:schemeClr w14:val="tx1"/>
                  </w14:solidFill>
                </w14:textFill>
              </w:rPr>
            </w:pPr>
            <w:r>
              <w:rPr>
                <w:rFonts w:hint="eastAsia"/>
                <w:color w:val="000000" w:themeColor="text1"/>
                <w:szCs w:val="21"/>
                <w:highlight w:val="none"/>
                <w14:textFill>
                  <w14:solidFill>
                    <w14:schemeClr w14:val="tx1"/>
                  </w14:solidFill>
                </w14:textFill>
              </w:rPr>
              <w:t>投标保证金为人民币</w:t>
            </w:r>
            <w:r>
              <w:rPr>
                <w:rFonts w:hint="eastAsia"/>
                <w:color w:val="000000" w:themeColor="text1"/>
                <w:szCs w:val="21"/>
                <w:highlight w:val="none"/>
                <w:u w:val="single"/>
                <w14:textFill>
                  <w14:solidFill>
                    <w14:schemeClr w14:val="tx1"/>
                  </w14:solidFill>
                </w14:textFill>
              </w:rPr>
              <w:t xml:space="preserve"> 10,000.00 </w:t>
            </w:r>
            <w:r>
              <w:rPr>
                <w:rFonts w:hint="eastAsia"/>
                <w:color w:val="000000" w:themeColor="text1"/>
                <w:szCs w:val="21"/>
                <w:highlight w:val="none"/>
                <w14:textFill>
                  <w14:solidFill>
                    <w14:schemeClr w14:val="tx1"/>
                  </w14:solidFill>
                </w14:textFill>
              </w:rPr>
              <w:t>元整；投标保证金应在投标有效期截止日后九十（90）天内保持有效。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□是             </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评标方法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综合评分法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定性评审法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定标方法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自定法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抽签法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竞价法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投标人的替代方案</w:t>
            </w:r>
          </w:p>
        </w:tc>
        <w:tc>
          <w:tcPr>
            <w:tcW w:w="6244" w:type="dxa"/>
            <w:vAlign w:val="center"/>
          </w:tcPr>
          <w:p>
            <w:pPr>
              <w:tabs>
                <w:tab w:val="clear" w:pos="426"/>
              </w:tabs>
              <w:adjustRightInd/>
              <w:snapToGrid/>
              <w:spacing w:line="240" w:lineRule="auto"/>
              <w:rPr>
                <w:color w:val="000000" w:themeColor="text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投标有效期</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履约担保金额</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不提交</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提交</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担保金额：为中标价的</w:t>
            </w:r>
            <w:r>
              <w:rPr>
                <w:color w:val="000000" w:themeColor="text1"/>
                <w:highlight w:val="none"/>
                <w:u w:val="singl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w:t>
            </w:r>
            <w:r>
              <w:rPr>
                <w:color w:val="000000" w:themeColor="text1"/>
                <w:highlight w:val="none"/>
                <w:u w:val="single"/>
                <w14:textFill>
                  <w14:solidFill>
                    <w14:schemeClr w14:val="tx1"/>
                  </w14:solidFill>
                </w14:textFill>
              </w:rPr>
              <w:t xml:space="preserve"> </w:t>
            </w:r>
            <w:r>
              <w:rPr>
                <w:color w:val="000000" w:themeColor="text1"/>
                <w:highlight w:val="none"/>
                <w14:textFill>
                  <w14:solidFill>
                    <w14:schemeClr w14:val="tx1"/>
                  </w14:solidFill>
                </w14:textFill>
              </w:rPr>
              <w:t>% 或</w:t>
            </w:r>
            <w:r>
              <w:rPr>
                <w:color w:val="000000" w:themeColor="text1"/>
                <w:highlight w:val="none"/>
                <w:u w:val="single"/>
                <w14:textFill>
                  <w14:solidFill>
                    <w14:schemeClr w14:val="tx1"/>
                  </w14:solidFill>
                </w14:textFill>
              </w:rPr>
              <w:t xml:space="preserve"> / </w:t>
            </w:r>
            <w:r>
              <w:rPr>
                <w:color w:val="000000" w:themeColor="text1"/>
                <w:highlight w:val="none"/>
                <w14:textFill>
                  <w14:solidFill>
                    <w14:schemeClr w14:val="tx1"/>
                  </w14:solidFill>
                </w14:textFill>
              </w:rPr>
              <w:t>万元</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担保提交时间：收到中标通知书后，并在签订合同前提交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投标文件份数</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纸质投标文件一正本、四副本，开标信封一份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投标文件电子档</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电子光盘一张（投标文件正本盖章后的彩色扫描件，</w:t>
            </w:r>
            <w:r>
              <w:rPr>
                <w:color w:val="000000" w:themeColor="text1"/>
                <w:highlight w:val="none"/>
                <w14:textFill>
                  <w14:solidFill>
                    <w14:schemeClr w14:val="tx1"/>
                  </w14:solidFill>
                </w14:textFill>
              </w:rPr>
              <w:t>PDF格式）</w:t>
            </w:r>
          </w:p>
        </w:tc>
      </w:tr>
    </w:tbl>
    <w:p>
      <w:pPr>
        <w:widowControl w:val="0"/>
        <w:shd w:val="clear" w:color="auto" w:fill="auto"/>
        <w:tabs>
          <w:tab w:val="clear" w:pos="426"/>
        </w:tabs>
        <w:adjustRightInd/>
        <w:snapToGrid/>
        <w:spacing w:line="240" w:lineRule="auto"/>
        <w:jc w:val="left"/>
        <w:rPr>
          <w:rFonts w:ascii="Calibri" w:hAnsi="Calibri" w:cs="Times New Roman"/>
          <w:b/>
          <w:color w:val="000000" w:themeColor="text1"/>
          <w:kern w:val="2"/>
          <w:szCs w:val="22"/>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color w:val="000000" w:themeColor="text1"/>
          <w:highlight w:val="none"/>
          <w14:textFill>
            <w14:solidFill>
              <w14:schemeClr w14:val="tx1"/>
            </w14:solidFill>
          </w14:textFill>
        </w:rPr>
        <w:t>资格、符合性评审条款</w:t>
      </w:r>
    </w:p>
    <w:p>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（凡有下列情形之一的，投标文件无效，投标作无效标处理</w:t>
      </w:r>
      <w:r>
        <w:rPr>
          <w:rFonts w:hint="eastAsia" w:ascii="黑体" w:eastAsia="黑体"/>
          <w:color w:val="000000" w:themeColor="text1"/>
          <w:szCs w:val="21"/>
          <w:highlight w:val="none"/>
          <w14:textFill>
            <w14:solidFill>
              <w14:schemeClr w14:val="tx1"/>
            </w14:solidFill>
          </w14:textFill>
        </w:rPr>
        <w:t>）</w:t>
      </w:r>
    </w:p>
    <w:tbl>
      <w:tblPr>
        <w:tblStyle w:val="4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7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7883"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 审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资格性审查表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投标人不具备招标资质要求，或未提交相应资质证明材料；(详见采购公告“投标人资质要求”，其中未列示的资质要求不得导致废标。)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投标截止时间前投标人未按“投标须知前附表”的要求提交投标保证金的。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将一个包或一个标段的内容拆开投标；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投标文件及开标一览表未按招标文件规定密封、签字、盖章；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对同一项目投标时，提供两套以上的投标方案（招标文件另有规定的除外）；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未按照招标文件规定要求签署、盖章或投标文件没有法定代表人签字，或签字人没有法定代表人有效授权书的；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未按招标文件所提供的样式填写</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投标函》；未按招标文件所提供的《政府采购投标及履约承诺函》进行承诺；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投标总价或分项报价高于财政预算限额（最高投标限价）；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同一项目出现两个及以上报价，且按规定无法确定哪个是有效报价；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spacing w:line="24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投标文件载明的交货期超过招标文件规定的期限；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spacing w:line="24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投标文件载明的免费保修期低于招标文件规定的期限；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所投产品、工程、服务在商务、技术等方面没有实质性满足招标文件要求的；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《技术规格偏离表》填写不全、不明或不实；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投标文件存在招标文件中规定的其它无效投标条款的；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法律、法规规定的属于投标无效的其他情形。</w:t>
            </w:r>
          </w:p>
        </w:tc>
      </w:tr>
    </w:tbl>
    <w:p>
      <w:pPr>
        <w:pStyle w:val="33"/>
        <w:widowControl w:val="0"/>
        <w:shd w:val="clear" w:color="auto" w:fill="auto"/>
        <w:tabs>
          <w:tab w:val="clear" w:pos="426"/>
        </w:tabs>
        <w:adjustRightInd/>
        <w:snapToGrid/>
        <w:jc w:val="both"/>
        <w:outlineLvl w:val="9"/>
        <w:rPr>
          <w:color w:val="000000" w:themeColor="text1"/>
          <w:sz w:val="21"/>
          <w:szCs w:val="2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r>
        <w:rPr>
          <w:color w:val="000000" w:themeColor="text1"/>
          <w:sz w:val="24"/>
          <w:highlight w:val="none"/>
          <w14:textFill>
            <w14:solidFill>
              <w14:schemeClr w14:val="tx1"/>
            </w14:solidFill>
          </w14:textFill>
        </w:rPr>
        <w:br w:type="page"/>
      </w:r>
      <w:bookmarkStart w:id="3" w:name="_Toc3628656"/>
      <w:bookmarkStart w:id="4" w:name="_Toc435514846"/>
      <w:r>
        <w:rPr>
          <w:color w:val="000000" w:themeColor="text1"/>
          <w:highlight w:val="none"/>
          <w14:textFill>
            <w14:solidFill>
              <w14:schemeClr w14:val="tx1"/>
            </w14:solidFill>
          </w14:textFill>
        </w:rPr>
        <w:t>评标信息</w:t>
      </w:r>
      <w:bookmarkEnd w:id="3"/>
    </w:p>
    <w:p>
      <w:pPr>
        <w:widowControl w:val="0"/>
        <w:shd w:val="clear" w:color="auto" w:fill="auto"/>
        <w:tabs>
          <w:tab w:val="clear" w:pos="426"/>
        </w:tabs>
        <w:adjustRightInd/>
        <w:snapToGrid/>
        <w:spacing w:line="300" w:lineRule="auto"/>
        <w:ind w:firstLine="422" w:firstLineChars="200"/>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1.本项目的评审办法采用：综合评分法。</w:t>
      </w:r>
      <w:r>
        <w:rPr>
          <w:rFonts w:hint="eastAsia"/>
          <w:b/>
          <w:color w:val="000000" w:themeColor="text1"/>
          <w:szCs w:val="21"/>
          <w:highlight w:val="none"/>
          <w14:textFill>
            <w14:solidFill>
              <w14:schemeClr w14:val="tx1"/>
            </w14:solidFill>
          </w14:textFill>
        </w:rPr>
        <w:t>本招标文件所述评标方法和定标方法与招标文件《通用条款</w:t>
      </w:r>
      <w:r>
        <w:rPr>
          <w:b/>
          <w:color w:val="000000" w:themeColor="text1"/>
          <w:szCs w:val="21"/>
          <w:highlight w:val="none"/>
          <w14:textFill>
            <w14:solidFill>
              <w14:schemeClr w14:val="tx1"/>
            </w14:solidFill>
          </w14:textFill>
        </w:rPr>
        <w:t>》所述不一致之处，以以下方法为准。</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中标人数量为：1家。</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综合评分法，是指投标文件满足招标文件全部实质性要求，且按照评审因素的量化指标评审得分最高的投标人为候选中标人的评标方法。</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评审总得分最高的投标人将被推荐为候选中标人，并作出评审结论</w:t>
      </w:r>
      <w:r>
        <w:rPr>
          <w:rFonts w:hint="eastAsia"/>
          <w:bCs/>
          <w:color w:val="000000" w:themeColor="text1"/>
          <w:szCs w:val="21"/>
          <w:highlight w:val="none"/>
          <w14:textFill>
            <w14:solidFill>
              <w14:schemeClr w14:val="tx1"/>
            </w14:solidFill>
          </w14:textFill>
        </w:rPr>
        <w:t>。经采购人同意后，确定为中标人。</w:t>
      </w:r>
    </w:p>
    <w:p>
      <w:pPr>
        <w:tabs>
          <w:tab w:val="clear" w:pos="426"/>
        </w:tabs>
        <w:spacing w:line="300" w:lineRule="auto"/>
        <w:ind w:firstLine="420" w:firstLineChars="200"/>
        <w:rPr>
          <w:rFonts w:cs="Times New Roman"/>
          <w:b/>
          <w:bCs/>
          <w:color w:val="000000" w:themeColor="text1"/>
          <w:kern w:val="2"/>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候选中标人按评审后得分由高到低顺序排列；得分相同的，按投标报价由低到高顺序排列；得分且投标报价相同的，按技术指标或服务方案优劣顺序排列；排列第一名的投标人获得候选中标人推荐资格。得分且投标报价相同的且技术指标或服务方案优劣相同的，</w:t>
      </w:r>
      <w:r>
        <w:rPr>
          <w:rFonts w:cs="Times New Roman"/>
          <w:bCs/>
          <w:color w:val="000000" w:themeColor="text1"/>
          <w:kern w:val="2"/>
          <w:szCs w:val="21"/>
          <w:highlight w:val="none"/>
          <w14:textFill>
            <w14:solidFill>
              <w14:schemeClr w14:val="tx1"/>
            </w14:solidFill>
          </w14:textFill>
        </w:rPr>
        <w:t>采取随机抽取方式确定</w:t>
      </w:r>
      <w:r>
        <w:rPr>
          <w:rFonts w:hint="eastAsia" w:cs="Times New Roman"/>
          <w:bCs/>
          <w:color w:val="000000" w:themeColor="text1"/>
          <w:kern w:val="2"/>
          <w:szCs w:val="21"/>
          <w:highlight w:val="none"/>
          <w14:textFill>
            <w14:solidFill>
              <w14:schemeClr w14:val="tx1"/>
            </w14:solidFill>
          </w14:textFill>
        </w:rPr>
        <w:t>候选</w:t>
      </w:r>
      <w:r>
        <w:rPr>
          <w:rFonts w:cs="Times New Roman"/>
          <w:bCs/>
          <w:color w:val="000000" w:themeColor="text1"/>
          <w:kern w:val="2"/>
          <w:szCs w:val="21"/>
          <w:highlight w:val="none"/>
          <w14:textFill>
            <w14:solidFill>
              <w14:schemeClr w14:val="tx1"/>
            </w14:solidFill>
          </w14:textFill>
        </w:rPr>
        <w:t>中标人推荐资格</w:t>
      </w:r>
      <w:r>
        <w:rPr>
          <w:rFonts w:hint="eastAsia" w:cs="Times New Roman"/>
          <w:bCs/>
          <w:color w:val="000000" w:themeColor="text1"/>
          <w:kern w:val="2"/>
          <w:szCs w:val="21"/>
          <w:highlight w:val="none"/>
          <w14:textFill>
            <w14:solidFill>
              <w14:schemeClr w14:val="tx1"/>
            </w14:solidFill>
          </w14:textFill>
        </w:rPr>
        <w:t>。</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.价格分计算方法：</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依据《</w:t>
      </w:r>
      <w:r>
        <w:rPr>
          <w:color w:val="000000" w:themeColor="text1"/>
          <w:szCs w:val="21"/>
          <w:highlight w:val="none"/>
          <w14:textFill>
            <w14:solidFill>
              <w14:schemeClr w14:val="tx1"/>
            </w14:solidFill>
          </w14:textFill>
        </w:rPr>
        <w:t>深圳市财政委员会关于严格执行财政部87号令价格分计算规定的通知</w:t>
      </w:r>
      <w:r>
        <w:rPr>
          <w:rFonts w:hint="eastAsia"/>
          <w:color w:val="000000" w:themeColor="text1"/>
          <w:szCs w:val="21"/>
          <w:highlight w:val="none"/>
          <w14:textFill>
            <w14:solidFill>
              <w14:schemeClr w14:val="tx1"/>
            </w14:solidFill>
          </w14:textFill>
        </w:rPr>
        <w:t>》（深财购〔</w:t>
      </w:r>
      <w:r>
        <w:rPr>
          <w:color w:val="000000" w:themeColor="text1"/>
          <w:szCs w:val="21"/>
          <w:highlight w:val="none"/>
          <w14:textFill>
            <w14:solidFill>
              <w14:schemeClr w14:val="tx1"/>
            </w14:solidFill>
          </w14:textFill>
        </w:rPr>
        <w:t>2018〕33号</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政府采购货物和服务招标投标管理办法</w:t>
      </w:r>
      <w:r>
        <w:rPr>
          <w:rFonts w:hint="eastAsia"/>
          <w:color w:val="000000" w:themeColor="text1"/>
          <w:szCs w:val="21"/>
          <w:highlight w:val="none"/>
          <w14:textFill>
            <w14:solidFill>
              <w14:schemeClr w14:val="tx1"/>
            </w14:solidFill>
          </w14:textFill>
        </w:rPr>
        <w:t>》（财政部令第</w:t>
      </w:r>
      <w:r>
        <w:rPr>
          <w:color w:val="000000" w:themeColor="text1"/>
          <w:szCs w:val="21"/>
          <w:highlight w:val="none"/>
          <w14:textFill>
            <w14:solidFill>
              <w14:schemeClr w14:val="tx1"/>
            </w14:solidFill>
          </w14:textFill>
        </w:rPr>
        <w:t>87号）</w:t>
      </w:r>
      <w:r>
        <w:rPr>
          <w:rFonts w:hint="eastAsia"/>
          <w:color w:val="000000" w:themeColor="text1"/>
          <w:szCs w:val="21"/>
          <w:highlight w:val="none"/>
          <w14:textFill>
            <w14:solidFill>
              <w14:schemeClr w14:val="tx1"/>
            </w14:solidFill>
          </w14:textFill>
        </w:rPr>
        <w:t>第五十五条第六款之规定：价格分应当采用低价优先法计算，即满足招标文件要求且投标价格最低的投标报价为评标基准价，其价格分为满分。其他投标人的价格分统一按照下列公式计算：</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投标报价得分</w:t>
      </w:r>
      <w:r>
        <w:rPr>
          <w:color w:val="000000" w:themeColor="text1"/>
          <w:szCs w:val="21"/>
          <w:highlight w:val="none"/>
          <w14:textFill>
            <w14:solidFill>
              <w14:schemeClr w14:val="tx1"/>
            </w14:solidFill>
          </w14:textFill>
        </w:rPr>
        <w:t>=(评标基准价／投标报价)×100</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评标总得分＝</w:t>
      </w:r>
      <w:r>
        <w:rPr>
          <w:color w:val="000000" w:themeColor="text1"/>
          <w:szCs w:val="21"/>
          <w:highlight w:val="none"/>
          <w14:textFill>
            <w14:solidFill>
              <w14:schemeClr w14:val="tx1"/>
            </w14:solidFill>
          </w14:textFill>
        </w:rPr>
        <w:t>F1×A1＋F2×A2＋……＋Fn×An</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F1、F2……Fn分别为各项评审因素的得分；</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A1、A2、……An 分别为各项评审因素所占的权重(A1＋A2＋……＋An＝1)。</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评标过程中，不得去掉报价中的最高报价和最低报价。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因落实政府采购政策进行价格调整的，以调整后的价格计算评标基准价和投标报价。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在实际评标过程中，《评分细则表》中的“分值”项为各项评审因素的实际分</w:t>
      </w:r>
      <w:r>
        <w:rPr>
          <w:color w:val="000000" w:themeColor="text1"/>
          <w:szCs w:val="21"/>
          <w:highlight w:val="none"/>
          <w14:textFill>
            <w14:solidFill>
              <w14:schemeClr w14:val="tx1"/>
            </w14:solidFill>
          </w14:textFill>
        </w:rPr>
        <w:t>Sn，Sn=Fn×An，评标总得分=S1＋S2＋……＋Sn，投标报价的实际分=(评标基准价／投标报价)×100×价格权重。</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评标优惠政策</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3.1.根据《政府采购促进中小企业发展暂行办法》（财库[2011]181号）、《财政部 司法部关于政府采购支持监狱企业发展有关问题的通知》（财库〔2014〕68号）和《三部门联合发布关于促进残疾人就业政府采购政策的通知》（财库〔2017〕141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Pr>
          <w:color w:val="000000" w:themeColor="text1"/>
          <w:szCs w:val="21"/>
          <w:highlight w:val="none"/>
          <w:u w:val="single"/>
          <w14:textFill>
            <w14:solidFill>
              <w14:schemeClr w14:val="tx1"/>
            </w14:solidFill>
          </w14:textFill>
        </w:rPr>
        <w:t xml:space="preserve"> 6 </w:t>
      </w:r>
      <w:r>
        <w:rPr>
          <w:color w:val="000000" w:themeColor="text1"/>
          <w:szCs w:val="21"/>
          <w:highlight w:val="none"/>
          <w14:textFill>
            <w14:solidFill>
              <w14:schemeClr w14:val="tx1"/>
            </w14:solidFill>
          </w14:textFill>
        </w:rPr>
        <w:t>%后参与评审。对于同时属于小微企业、监狱企业或残疾人福利性</w:t>
      </w:r>
      <w:r>
        <w:rPr>
          <w:rFonts w:hint="eastAsia"/>
          <w:color w:val="000000" w:themeColor="text1"/>
          <w:szCs w:val="21"/>
          <w:highlight w:val="none"/>
          <w14:textFill>
            <w14:solidFill>
              <w14:schemeClr w14:val="tx1"/>
            </w14:solidFill>
          </w14:textFill>
        </w:rPr>
        <w:t>单位的，不重复进行投标报价扣除。如有其它政策支持因素（如鼓励创新等）需一并列出。</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3.2.联合协议中约定，小型、微型企业、残疾人福利性单位和监狱企业的协议合同金额占到联合体协议合同总金额30%以上的，可给予联合体</w:t>
      </w:r>
      <w:r>
        <w:rPr>
          <w:color w:val="000000" w:themeColor="text1"/>
          <w:szCs w:val="21"/>
          <w:highlight w:val="none"/>
          <w:u w:val="single"/>
          <w14:textFill>
            <w14:solidFill>
              <w14:schemeClr w14:val="tx1"/>
            </w14:solidFill>
          </w14:textFill>
        </w:rPr>
        <w:t xml:space="preserve"> 2 </w:t>
      </w:r>
      <w:r>
        <w:rPr>
          <w:color w:val="000000" w:themeColor="text1"/>
          <w:szCs w:val="21"/>
          <w:highlight w:val="none"/>
          <w14:textFill>
            <w14:solidFill>
              <w14:schemeClr w14:val="tx1"/>
            </w14:solidFill>
          </w14:textFill>
        </w:rPr>
        <w:t>% （请在2%-3%范围内选择）的价格扣除。</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联合体各方均为小型、微型企业和监狱企业的，联合体视同为小型、微型企业和监狱企业，均享受</w:t>
      </w:r>
      <w:r>
        <w:rPr>
          <w:rFonts w:hint="eastAsia"/>
          <w:b/>
          <w:color w:val="000000" w:themeColor="text1"/>
          <w:szCs w:val="21"/>
          <w:highlight w:val="none"/>
          <w14:textFill>
            <w14:solidFill>
              <w14:schemeClr w14:val="tx1"/>
            </w14:solidFill>
          </w14:textFill>
        </w:rPr>
        <w:t>评标优惠政策</w:t>
      </w:r>
      <w:r>
        <w:rPr>
          <w:rFonts w:hint="eastAsia"/>
          <w:color w:val="000000" w:themeColor="text1"/>
          <w:szCs w:val="21"/>
          <w:highlight w:val="none"/>
          <w14:textFill>
            <w14:solidFill>
              <w14:schemeClr w14:val="tx1"/>
            </w14:solidFill>
          </w14:textFill>
        </w:rPr>
        <w:t>第一款的优惠政策。</w:t>
      </w:r>
    </w:p>
    <w:p>
      <w:pPr>
        <w:tabs>
          <w:tab w:val="clear" w:pos="426"/>
        </w:tabs>
        <w:spacing w:line="300" w:lineRule="auto"/>
        <w:ind w:firstLine="422" w:firstLineChars="200"/>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3.3.</w:t>
      </w:r>
      <w:r>
        <w:rPr>
          <w:rFonts w:hint="eastAsia"/>
          <w:b/>
          <w:color w:val="000000" w:themeColor="text1"/>
          <w:szCs w:val="21"/>
          <w:highlight w:val="none"/>
          <w14:textFill>
            <w14:solidFill>
              <w14:schemeClr w14:val="tx1"/>
            </w14:solidFill>
          </w14:textFill>
        </w:rPr>
        <w:t>如采购人所采购产品为政府强制采购的节能产品，投标人所投产品的品牌及型号必须为清单中有效期内产品并提供证明文件，否则其投标将被认定为投标无效。</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4.评标专家应对通过投标文件初审进入评标程序的投标文件先评技术标、再评商务标；</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5.评标专家需按招标文件规定的评审标准对投标人提交的投标文件进行评审，投标文件中与评审标准无关的内容不作为评审内容</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djustRightInd/>
        <w:snapToGrid/>
        <w:ind w:left="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w:t>
      </w:r>
      <w:r>
        <w:rPr>
          <w:rFonts w:hint="eastAsia"/>
          <w:color w:val="000000" w:themeColor="text1"/>
          <w:szCs w:val="21"/>
          <w:highlight w:val="none"/>
          <w14:textFill>
            <w14:solidFill>
              <w14:schemeClr w14:val="tx1"/>
            </w14:solidFill>
          </w14:textFill>
        </w:rPr>
        <w:t>评标委员会在评标时，应按照以下量化的评审因素，对各投标文件进行分析和比较：</w:t>
      </w:r>
    </w:p>
    <w:p>
      <w:pPr>
        <w:tabs>
          <w:tab w:val="clear" w:pos="426"/>
        </w:tabs>
        <w:spacing w:line="300" w:lineRule="auto"/>
        <w:ind w:firstLine="422" w:firstLineChars="200"/>
        <w:rPr>
          <w:b/>
          <w:color w:val="000000" w:themeColor="text1"/>
          <w:szCs w:val="21"/>
          <w:highlight w:val="none"/>
          <w14:textFill>
            <w14:solidFill>
              <w14:schemeClr w14:val="tx1"/>
            </w14:solidFill>
          </w14:textFill>
        </w:rPr>
      </w:pPr>
      <w:bookmarkStart w:id="5" w:name="_Hlk535523259"/>
    </w:p>
    <w:p>
      <w:pPr>
        <w:tabs>
          <w:tab w:val="clear" w:pos="426"/>
        </w:tabs>
        <w:spacing w:line="300" w:lineRule="auto"/>
        <w:ind w:firstLine="422" w:firstLineChars="200"/>
        <w:rPr>
          <w:b/>
          <w:color w:val="000000" w:themeColor="text1"/>
          <w:szCs w:val="21"/>
          <w:highlight w:val="none"/>
          <w14:textFill>
            <w14:solidFill>
              <w14:schemeClr w14:val="tx1"/>
            </w14:solidFill>
          </w14:textFill>
        </w:rPr>
      </w:pPr>
    </w:p>
    <w:p>
      <w:pPr>
        <w:tabs>
          <w:tab w:val="clear" w:pos="426"/>
        </w:tabs>
        <w:spacing w:line="300" w:lineRule="auto"/>
        <w:ind w:firstLine="422" w:firstLineChars="200"/>
        <w:rPr>
          <w:b/>
          <w:color w:val="000000" w:themeColor="text1"/>
          <w:szCs w:val="21"/>
          <w:highlight w:val="none"/>
          <w14:textFill>
            <w14:solidFill>
              <w14:schemeClr w14:val="tx1"/>
            </w14:solidFill>
          </w14:textFill>
        </w:rPr>
      </w:pPr>
    </w:p>
    <w:p>
      <w:pPr>
        <w:tabs>
          <w:tab w:val="clear" w:pos="426"/>
        </w:tabs>
        <w:spacing w:line="300" w:lineRule="auto"/>
        <w:ind w:firstLine="560" w:firstLineChars="200"/>
        <w:rPr>
          <w:color w:val="000000" w:themeColor="text1"/>
          <w:sz w:val="28"/>
          <w:szCs w:val="28"/>
          <w:highlight w:val="none"/>
          <w14:textFill>
            <w14:solidFill>
              <w14:schemeClr w14:val="tx1"/>
            </w14:solidFill>
          </w14:textFill>
        </w:rPr>
      </w:pPr>
    </w:p>
    <w:bookmarkEnd w:id="4"/>
    <w:bookmarkEnd w:id="5"/>
    <w:p>
      <w:pPr>
        <w:pStyle w:val="33"/>
        <w:widowControl w:val="0"/>
        <w:shd w:val="clear" w:color="auto" w:fill="auto"/>
        <w:tabs>
          <w:tab w:val="clear" w:pos="426"/>
        </w:tabs>
        <w:adjustRightInd/>
        <w:snapToGrid/>
        <w:outlineLvl w:val="9"/>
        <w:rPr>
          <w:rFonts w:ascii="宋体" w:hAnsi="宋体"/>
          <w:bCs w:val="0"/>
          <w:color w:val="000000" w:themeColor="text1"/>
          <w:sz w:val="24"/>
          <w:szCs w:val="24"/>
          <w:highlight w:val="none"/>
          <w14:textFill>
            <w14:solidFill>
              <w14:schemeClr w14:val="tx1"/>
            </w14:solidFill>
          </w14:textFill>
        </w:rPr>
      </w:pPr>
      <w:r>
        <w:rPr>
          <w:bCs w:val="0"/>
          <w:color w:val="000000" w:themeColor="text1"/>
          <w:sz w:val="24"/>
          <w:highlight w:val="none"/>
          <w14:textFill>
            <w14:solidFill>
              <w14:schemeClr w14:val="tx1"/>
            </w14:solidFill>
          </w14:textFill>
        </w:rPr>
        <w:br w:type="page"/>
      </w:r>
      <w:r>
        <w:rPr>
          <w:rFonts w:hint="eastAsia" w:ascii="宋体" w:hAnsi="宋体"/>
          <w:bCs w:val="0"/>
          <w:color w:val="000000" w:themeColor="text1"/>
          <w:sz w:val="24"/>
          <w:szCs w:val="24"/>
          <w:highlight w:val="none"/>
          <w14:textFill>
            <w14:solidFill>
              <w14:schemeClr w14:val="tx1"/>
            </w14:solidFill>
          </w14:textFill>
        </w:rPr>
        <w:t>评分细则表</w:t>
      </w:r>
    </w:p>
    <w:tbl>
      <w:tblPr>
        <w:tblStyle w:val="44"/>
        <w:tblW w:w="979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97"/>
        <w:gridCol w:w="1773"/>
        <w:gridCol w:w="708"/>
        <w:gridCol w:w="5531"/>
        <w:gridCol w:w="12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3" w:hRule="atLeast"/>
          <w:jc w:val="center"/>
        </w:trPr>
        <w:tc>
          <w:tcPr>
            <w:tcW w:w="8509"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b/>
                <w:color w:val="000000" w:themeColor="text1"/>
                <w:szCs w:val="21"/>
                <w:highlight w:val="none"/>
                <w:lang w:val="zh-CN"/>
                <w14:textFill>
                  <w14:solidFill>
                    <w14:schemeClr w14:val="tx1"/>
                  </w14:solidFill>
                </w14:textFill>
              </w:rPr>
            </w:pPr>
            <w:bookmarkStart w:id="6" w:name="bt投标人情况介绍"/>
            <w:bookmarkEnd w:id="6"/>
            <w:bookmarkStart w:id="7" w:name="bt投标报价汇总表"/>
            <w:bookmarkEnd w:id="7"/>
            <w:bookmarkStart w:id="8" w:name="bt开标一览表"/>
            <w:bookmarkEnd w:id="8"/>
            <w:bookmarkStart w:id="9" w:name="bt项目管理班子配备情况"/>
            <w:bookmarkEnd w:id="9"/>
            <w:bookmarkStart w:id="10" w:name="bt商务标投标文件格式"/>
            <w:bookmarkEnd w:id="10"/>
            <w:bookmarkStart w:id="11" w:name="bt投标文件签署授权委托书"/>
            <w:bookmarkEnd w:id="11"/>
            <w:bookmarkStart w:id="12" w:name="bt本工程承诺书"/>
            <w:bookmarkEnd w:id="12"/>
            <w:bookmarkStart w:id="13" w:name="bt投标函"/>
            <w:bookmarkEnd w:id="13"/>
            <w:bookmarkStart w:id="14" w:name="合同格式"/>
            <w:bookmarkEnd w:id="14"/>
            <w:bookmarkStart w:id="15" w:name="bt说明"/>
            <w:bookmarkEnd w:id="15"/>
            <w:bookmarkStart w:id="16" w:name="bt合同条款"/>
            <w:bookmarkEnd w:id="16"/>
            <w:bookmarkStart w:id="17" w:name="bt合同条款及格式"/>
            <w:bookmarkEnd w:id="17"/>
            <w:bookmarkStart w:id="18" w:name="bt其他资料由投标人自定"/>
            <w:bookmarkEnd w:id="18"/>
            <w:bookmarkStart w:id="19" w:name="bt技术标投标文件格式"/>
            <w:bookmarkEnd w:id="19"/>
            <w:bookmarkStart w:id="20" w:name="bt投标人须知"/>
            <w:bookmarkEnd w:id="20"/>
            <w:bookmarkStart w:id="21" w:name="bt合同格式"/>
            <w:bookmarkEnd w:id="21"/>
            <w:bookmarkStart w:id="22" w:name="bt其他资料2"/>
            <w:bookmarkEnd w:id="22"/>
            <w:bookmarkStart w:id="23" w:name="_Toc432592812"/>
            <w:r>
              <w:rPr>
                <w:rFonts w:hint="eastAsia"/>
                <w:b/>
                <w:color w:val="000000" w:themeColor="text1"/>
                <w:szCs w:val="21"/>
                <w:highlight w:val="none"/>
                <w:lang w:val="zh-CN"/>
                <w14:textFill>
                  <w14:solidFill>
                    <w14:schemeClr w14:val="tx1"/>
                  </w14:solidFill>
                </w14:textFill>
              </w:rPr>
              <w:t>评分项及评分规则</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8" w:hRule="atLeast"/>
          <w:jc w:val="center"/>
        </w:trPr>
        <w:tc>
          <w:tcPr>
            <w:tcW w:w="8509"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一、价格部分</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9" w:hRule="atLeast"/>
          <w:jc w:val="center"/>
        </w:trPr>
        <w:tc>
          <w:tcPr>
            <w:tcW w:w="8509"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b/>
                <w:color w:val="000000" w:themeColor="text1"/>
                <w:szCs w:val="21"/>
                <w:highlight w:val="none"/>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二、商务部分</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序号</w:t>
            </w:r>
          </w:p>
        </w:tc>
        <w:tc>
          <w:tcPr>
            <w:tcW w:w="177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内容</w:t>
            </w:r>
          </w:p>
        </w:tc>
        <w:tc>
          <w:tcPr>
            <w:tcW w:w="708"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权重</w:t>
            </w:r>
          </w:p>
        </w:tc>
        <w:tc>
          <w:tcPr>
            <w:tcW w:w="5531"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评分规则</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lang w:val="zh-CN"/>
                <w14:textFill>
                  <w14:solidFill>
                    <w14:schemeClr w14:val="tx1"/>
                  </w14:solidFill>
                </w14:textFill>
              </w:rPr>
            </w:pPr>
            <w:r>
              <w:rPr>
                <w:rFonts w:hint="eastAsia"/>
                <w:color w:val="000000" w:themeColor="text1"/>
                <w:szCs w:val="21"/>
                <w:highlight w:val="none"/>
                <w14:textFill>
                  <w14:solidFill>
                    <w14:schemeClr w14:val="tx1"/>
                  </w14:solidFill>
                </w14:textFill>
              </w:rPr>
              <w:t>1</w:t>
            </w:r>
          </w:p>
        </w:tc>
        <w:tc>
          <w:tcPr>
            <w:tcW w:w="1773" w:type="dxa"/>
            <w:tcBorders>
              <w:top w:val="single" w:color="auto" w:sz="6" w:space="0"/>
              <w:left w:val="single" w:color="auto" w:sz="6" w:space="0"/>
              <w:bottom w:val="single" w:color="auto" w:sz="6" w:space="0"/>
              <w:right w:val="single" w:color="auto" w:sz="6" w:space="0"/>
            </w:tcBorders>
            <w:vAlign w:val="center"/>
          </w:tcPr>
          <w:p>
            <w:pPr>
              <w:spacing w:line="340" w:lineRule="exact"/>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投标人资质情况</w:t>
            </w:r>
          </w:p>
        </w:tc>
        <w:tc>
          <w:tcPr>
            <w:tcW w:w="708" w:type="dxa"/>
            <w:tcBorders>
              <w:top w:val="single" w:color="auto" w:sz="6" w:space="0"/>
              <w:left w:val="single" w:color="auto" w:sz="6" w:space="0"/>
              <w:bottom w:val="single" w:color="auto" w:sz="6" w:space="0"/>
              <w:right w:val="single" w:color="auto" w:sz="6" w:space="0"/>
            </w:tcBorders>
            <w:vAlign w:val="center"/>
          </w:tcPr>
          <w:p>
            <w:pPr>
              <w:spacing w:line="340" w:lineRule="exact"/>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5531" w:type="dxa"/>
            <w:tcBorders>
              <w:top w:val="single" w:color="auto" w:sz="6" w:space="0"/>
              <w:left w:val="single" w:color="auto" w:sz="6" w:space="0"/>
              <w:bottom w:val="single" w:color="auto" w:sz="6" w:space="0"/>
              <w:right w:val="single" w:color="auto" w:sz="6" w:space="0"/>
            </w:tcBorders>
            <w:vAlign w:val="center"/>
          </w:tcPr>
          <w:p>
            <w:pPr>
              <w:numPr>
                <w:ilvl w:val="0"/>
                <w:numId w:val="23"/>
              </w:numPr>
              <w:tabs>
                <w:tab w:val="left" w:pos="0"/>
                <w:tab w:val="clear" w:pos="426"/>
              </w:tabs>
              <w:ind w:left="0" w:firstLine="0"/>
              <w:jc w:val="left"/>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评审标准：</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具有中国网络安全审查技术与认证中心颁发的信息安全服务资质认证证书，一级得2.4分；二级得1.2分；二级以下不得分。</w:t>
            </w:r>
          </w:p>
          <w:p>
            <w:pPr>
              <w:tabs>
                <w:tab w:val="left" w:pos="0"/>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）具有安全技术防范系统设计、施工、维修资格证书（持广东省外安防工程企业资质证书的须提供广东省安全技术防范系统省外单位设计、施工、维修资格备案证），一级得1.6分；二级得1.2分；二级以下不得分。</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3）具有国家住房和城乡建设部门颁发的</w:t>
            </w:r>
            <w:r>
              <w:rPr>
                <w:color w:val="000000" w:themeColor="text1"/>
                <w:szCs w:val="21"/>
                <w:highlight w:val="none"/>
                <w14:textFill>
                  <w14:solidFill>
                    <w14:schemeClr w14:val="tx1"/>
                  </w14:solidFill>
                </w14:textFill>
              </w:rPr>
              <w:t>电子与智能化工程专业承包资质</w:t>
            </w:r>
            <w:r>
              <w:rPr>
                <w:rFonts w:hint="eastAsia"/>
                <w:color w:val="000000" w:themeColor="text1"/>
                <w:szCs w:val="21"/>
                <w:highlight w:val="none"/>
                <w14:textFill>
                  <w14:solidFill>
                    <w14:schemeClr w14:val="tx1"/>
                  </w14:solidFill>
                </w14:textFill>
              </w:rPr>
              <w:t>壹</w:t>
            </w:r>
            <w:r>
              <w:rPr>
                <w:color w:val="000000" w:themeColor="text1"/>
                <w:szCs w:val="21"/>
                <w:highlight w:val="none"/>
                <w14:textFill>
                  <w14:solidFill>
                    <w14:schemeClr w14:val="tx1"/>
                  </w14:solidFill>
                </w14:textFill>
              </w:rPr>
              <w:t>级</w:t>
            </w:r>
            <w:r>
              <w:rPr>
                <w:rFonts w:hint="eastAsia"/>
                <w:color w:val="000000" w:themeColor="text1"/>
                <w:szCs w:val="21"/>
                <w:highlight w:val="none"/>
                <w14:textFill>
                  <w14:solidFill>
                    <w14:schemeClr w14:val="tx1"/>
                  </w14:solidFill>
                </w14:textFill>
              </w:rPr>
              <w:t>1.6分</w:t>
            </w:r>
            <w:r>
              <w:rPr>
                <w:rFonts w:hint="eastAsia"/>
                <w:color w:val="000000" w:themeColor="text1"/>
                <w:szCs w:val="21"/>
                <w:highlight w:val="none"/>
                <w:lang w:eastAsia="zh-CN"/>
                <w14:textFill>
                  <w14:solidFill>
                    <w14:schemeClr w14:val="tx1"/>
                  </w14:solidFill>
                </w14:textFill>
              </w:rPr>
              <w:t>，二级得</w:t>
            </w:r>
            <w:r>
              <w:rPr>
                <w:rFonts w:hint="eastAsia"/>
                <w:color w:val="000000" w:themeColor="text1"/>
                <w:szCs w:val="21"/>
                <w:highlight w:val="none"/>
                <w:lang w:val="en-US" w:eastAsia="zh-CN"/>
                <w14:textFill>
                  <w14:solidFill>
                    <w14:schemeClr w14:val="tx1"/>
                  </w14:solidFill>
                </w14:textFill>
              </w:rPr>
              <w:t>0.8分</w:t>
            </w:r>
            <w:r>
              <w:rPr>
                <w:rFonts w:hint="eastAsia"/>
                <w:color w:val="000000" w:themeColor="text1"/>
                <w:szCs w:val="21"/>
                <w:highlight w:val="none"/>
                <w14:textFill>
                  <w14:solidFill>
                    <w14:schemeClr w14:val="tx1"/>
                  </w14:solidFill>
                </w14:textFill>
              </w:rPr>
              <w:t>；</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4）具有国家住房和城乡建设部门颁发的机电工程施工总承包资质贰级或以上资质得2.4分；二级以下不得分；</w:t>
            </w:r>
          </w:p>
          <w:p>
            <w:pPr>
              <w:tabs>
                <w:tab w:val="left" w:pos="0"/>
                <w:tab w:val="clear" w:pos="426"/>
              </w:tabs>
              <w:rPr>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2、证明文件：</w:t>
            </w:r>
            <w:r>
              <w:rPr>
                <w:rFonts w:hint="eastAsia"/>
                <w:color w:val="000000" w:themeColor="text1"/>
                <w:highlight w:val="none"/>
                <w14:textFill>
                  <w14:solidFill>
                    <w14:schemeClr w14:val="tx1"/>
                  </w14:solidFill>
                </w14:textFill>
              </w:rPr>
              <w:t>投标人</w:t>
            </w:r>
            <w:r>
              <w:rPr>
                <w:rFonts w:hint="eastAsia"/>
                <w:color w:val="000000" w:themeColor="text1"/>
                <w:highlight w:val="none"/>
                <w:lang w:val="zh-CN"/>
                <w14:textFill>
                  <w14:solidFill>
                    <w14:schemeClr w14:val="tx1"/>
                  </w14:solidFill>
                </w14:textFill>
              </w:rPr>
              <w:t>须提供以上相关证书扫描件，不满足或未提供有效证明文件的，不得分，原件备查。</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lang w:val="zh-CN"/>
                <w14:textFill>
                  <w14:solidFill>
                    <w14:schemeClr w14:val="tx1"/>
                  </w14:solidFill>
                </w14:textFill>
              </w:rPr>
            </w:pPr>
            <w:r>
              <w:rPr>
                <w:rFonts w:hint="eastAsia"/>
                <w:color w:val="000000" w:themeColor="text1"/>
                <w:szCs w:val="21"/>
                <w:highlight w:val="none"/>
                <w14:textFill>
                  <w14:solidFill>
                    <w14:schemeClr w14:val="tx1"/>
                  </w14:solidFill>
                </w14:textFill>
              </w:rPr>
              <w:t>2</w:t>
            </w:r>
          </w:p>
        </w:tc>
        <w:tc>
          <w:tcPr>
            <w:tcW w:w="1773"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产品授权或代理情况</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5531" w:type="dxa"/>
            <w:tcBorders>
              <w:top w:val="single" w:color="auto" w:sz="6" w:space="0"/>
              <w:left w:val="single" w:color="auto" w:sz="6" w:space="0"/>
              <w:bottom w:val="single" w:color="auto" w:sz="6" w:space="0"/>
              <w:right w:val="single" w:color="auto" w:sz="6" w:space="0"/>
            </w:tcBorders>
            <w:vAlign w:val="center"/>
          </w:tcPr>
          <w:p>
            <w:pPr>
              <w:numPr>
                <w:ilvl w:val="0"/>
                <w:numId w:val="24"/>
              </w:numPr>
              <w:tabs>
                <w:tab w:val="left" w:pos="0"/>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评分标准：</w:t>
            </w:r>
          </w:p>
          <w:p>
            <w:pPr>
              <w:tabs>
                <w:tab w:val="left" w:pos="0"/>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投标人为所投</w:t>
            </w:r>
            <w:r>
              <w:rPr>
                <w:rFonts w:hint="eastAsia"/>
                <w:b/>
                <w:color w:val="000000" w:themeColor="text1"/>
                <w:highlight w:val="none"/>
                <w14:textFill>
                  <w14:solidFill>
                    <w14:schemeClr w14:val="tx1"/>
                  </w14:solidFill>
                </w14:textFill>
              </w:rPr>
              <w:t>交互式液晶一体机、</w:t>
            </w:r>
            <w:r>
              <w:rPr>
                <w:rFonts w:hint="eastAsia"/>
                <w:b/>
                <w:bCs/>
                <w:color w:val="000000" w:themeColor="text1"/>
                <w:highlight w:val="none"/>
                <w14:textFill>
                  <w14:solidFill>
                    <w14:schemeClr w14:val="tx1"/>
                  </w14:solidFill>
                </w14:textFill>
              </w:rPr>
              <w:t>激光超短焦投影</w:t>
            </w:r>
            <w:r>
              <w:rPr>
                <w:rFonts w:hint="eastAsia"/>
                <w:b/>
                <w:color w:val="000000" w:themeColor="text1"/>
                <w:highlight w:val="none"/>
                <w14:textFill>
                  <w14:solidFill>
                    <w14:schemeClr w14:val="tx1"/>
                  </w14:solidFill>
                </w14:textFill>
              </w:rPr>
              <w:t>、智能融合信息终端</w:t>
            </w:r>
            <w:r>
              <w:rPr>
                <w:rFonts w:hint="eastAsia"/>
                <w:color w:val="000000" w:themeColor="text1"/>
                <w:highlight w:val="none"/>
                <w14:textFill>
                  <w14:solidFill>
                    <w14:schemeClr w14:val="tx1"/>
                  </w14:solidFill>
                </w14:textFill>
              </w:rPr>
              <w:t>产品的制造商或者合法代理商或合法授权商，得3分。不满足或未提供有效证明文件，不得分。</w:t>
            </w:r>
          </w:p>
          <w:p>
            <w:pPr>
              <w:tabs>
                <w:tab w:val="left" w:pos="0"/>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2、证明文件：</w:t>
            </w:r>
          </w:p>
          <w:p>
            <w:pPr>
              <w:tabs>
                <w:tab w:val="left" w:pos="0"/>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1）投标人若为制造商，须提供制造商声明原件扫描件；投标人若为代理商，须提供有效的厂家盖章授权代理经销商证明文件扫描件；投标人若为授权商，须提供有效的厂家盖章授权及售后服务证明文件扫描件；</w:t>
            </w:r>
          </w:p>
          <w:p>
            <w:pPr>
              <w:tabs>
                <w:tab w:val="left" w:pos="0"/>
                <w:tab w:val="clear" w:pos="426"/>
              </w:tabs>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2）不满足或未提供有效证明文件，不得分。</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lang w:val="zh-CN"/>
                <w14:textFill>
                  <w14:solidFill>
                    <w14:schemeClr w14:val="tx1"/>
                  </w14:solidFill>
                </w14:textFill>
              </w:rPr>
            </w:pPr>
            <w:r>
              <w:rPr>
                <w:rFonts w:hint="eastAsia"/>
                <w:color w:val="000000" w:themeColor="text1"/>
                <w:szCs w:val="21"/>
                <w:highlight w:val="none"/>
                <w14:textFill>
                  <w14:solidFill>
                    <w14:schemeClr w14:val="tx1"/>
                  </w14:solidFill>
                </w14:textFill>
              </w:rPr>
              <w:t>3</w:t>
            </w:r>
          </w:p>
        </w:tc>
        <w:tc>
          <w:tcPr>
            <w:tcW w:w="177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投标人业绩</w:t>
            </w:r>
          </w:p>
        </w:tc>
        <w:tc>
          <w:tcPr>
            <w:tcW w:w="708"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5531" w:type="dxa"/>
            <w:tcBorders>
              <w:top w:val="single" w:color="auto" w:sz="6" w:space="0"/>
              <w:left w:val="single" w:color="auto" w:sz="6" w:space="0"/>
              <w:bottom w:val="single" w:color="auto" w:sz="6" w:space="0"/>
              <w:right w:val="single" w:color="auto" w:sz="6" w:space="0"/>
            </w:tcBorders>
            <w:vAlign w:val="center"/>
          </w:tcPr>
          <w:p>
            <w:pPr>
              <w:tabs>
                <w:tab w:val="left" w:pos="0"/>
                <w:tab w:val="clear" w:pos="426"/>
              </w:tabs>
              <w:rPr>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1、评审标准：</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近三年（2016年1月1日至本项目招标公告发布之日止）完成的校园信息化建设类同类业绩；</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1）每提供1个有效业绩得1分，最高得4分。</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2）不满足或未提供有效证明文件的不得分。</w:t>
            </w:r>
          </w:p>
          <w:p>
            <w:pPr>
              <w:tabs>
                <w:tab w:val="left" w:pos="0"/>
                <w:tab w:val="clear" w:pos="426"/>
              </w:tabs>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2、证明文件：</w:t>
            </w:r>
          </w:p>
          <w:p>
            <w:pPr>
              <w:tabs>
                <w:tab w:val="left" w:pos="0"/>
                <w:tab w:val="clear" w:pos="426"/>
              </w:tabs>
              <w:jc w:val="left"/>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提供合同关键页、中标通知书扫描件加盖投标人公章，原件备查。</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4</w:t>
            </w:r>
          </w:p>
        </w:tc>
        <w:tc>
          <w:tcPr>
            <w:tcW w:w="177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诚信档案</w:t>
            </w:r>
          </w:p>
        </w:tc>
        <w:tc>
          <w:tcPr>
            <w:tcW w:w="708"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5531" w:type="dxa"/>
            <w:tcBorders>
              <w:top w:val="single" w:color="auto" w:sz="6" w:space="0"/>
              <w:left w:val="single" w:color="auto" w:sz="6" w:space="0"/>
              <w:bottom w:val="single" w:color="auto" w:sz="6" w:space="0"/>
              <w:right w:val="single" w:color="auto" w:sz="6" w:space="0"/>
            </w:tcBorders>
            <w:vAlign w:val="center"/>
          </w:tcPr>
          <w:p>
            <w:pPr>
              <w:numPr>
                <w:ilvl w:val="0"/>
                <w:numId w:val="25"/>
              </w:numPr>
              <w:autoSpaceDE w:val="0"/>
              <w:autoSpaceDN w:val="0"/>
              <w:spacing w:line="360" w:lineRule="exact"/>
              <w:jc w:val="left"/>
              <w:rPr>
                <w:color w:val="000000" w:themeColor="text1"/>
                <w:highlight w:val="none"/>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评审标准：</w:t>
            </w:r>
          </w:p>
          <w:p>
            <w:pPr>
              <w:tabs>
                <w:tab w:val="left" w:pos="0"/>
                <w:tab w:val="clear" w:pos="426"/>
              </w:tabs>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深圳市财政委员会关于印发〈深圳市政府采购供应商诚信管理暂行办法操作细则〉的通知》（深财购[2017]42号）的要求，投标人在参与政府采购活动中存在诚信相关问题且在主管部门相关处理措施实施期限内的，本项不得分，否则得5分。</w:t>
            </w:r>
          </w:p>
          <w:p>
            <w:pPr>
              <w:numPr>
                <w:ilvl w:val="0"/>
                <w:numId w:val="25"/>
              </w:numPr>
              <w:autoSpaceDE w:val="0"/>
              <w:autoSpaceDN w:val="0"/>
              <w:spacing w:line="360" w:lineRule="exact"/>
              <w:jc w:val="left"/>
              <w:rPr>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证明文件：</w:t>
            </w:r>
          </w:p>
          <w:p>
            <w:pPr>
              <w:pStyle w:val="2"/>
              <w:rPr>
                <w:color w:val="000000" w:themeColor="text1"/>
                <w:highlight w:val="none"/>
                <w14:textFill>
                  <w14:solidFill>
                    <w14:schemeClr w14:val="tx1"/>
                  </w14:solidFill>
                </w14:textFill>
              </w:rPr>
            </w:pPr>
            <w:r>
              <w:rPr>
                <w:rFonts w:hint="eastAsia"/>
                <w:b w:val="0"/>
                <w:bCs w:val="0"/>
                <w:color w:val="000000" w:themeColor="text1"/>
                <w:sz w:val="21"/>
                <w:highlight w:val="none"/>
                <w:lang w:val="zh-CN"/>
                <w14:textFill>
                  <w14:solidFill>
                    <w14:schemeClr w14:val="tx1"/>
                  </w14:solidFill>
                </w14:textFill>
              </w:rPr>
              <w:t>须提供《诚信承诺函》，如若投标人承诺与实际情况不相符，将按照虚假投标的情况报相关主管部门处理，承诺函应按招标文件格式填写原件加盖投标人公章（诚信承诺函格式详见投标文件格式、附件）。</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8509" w:type="dxa"/>
            <w:gridSpan w:val="4"/>
            <w:tcBorders>
              <w:top w:val="single" w:color="auto" w:sz="6" w:space="0"/>
              <w:left w:val="single" w:color="auto" w:sz="6" w:space="0"/>
              <w:bottom w:val="single" w:color="auto" w:sz="6" w:space="0"/>
              <w:right w:val="single" w:color="auto" w:sz="6" w:space="0"/>
            </w:tcBorders>
            <w:vAlign w:val="center"/>
          </w:tcPr>
          <w:p>
            <w:pPr>
              <w:tabs>
                <w:tab w:val="left" w:pos="0"/>
                <w:tab w:val="clear" w:pos="426"/>
              </w:tabs>
              <w:autoSpaceDE w:val="0"/>
              <w:autoSpaceDN w:val="0"/>
              <w:jc w:val="center"/>
              <w:rPr>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三、技术部分</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77"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序号</w:t>
            </w:r>
          </w:p>
        </w:tc>
        <w:tc>
          <w:tcPr>
            <w:tcW w:w="177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内容</w:t>
            </w:r>
          </w:p>
        </w:tc>
        <w:tc>
          <w:tcPr>
            <w:tcW w:w="708"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权重</w:t>
            </w:r>
          </w:p>
        </w:tc>
        <w:tc>
          <w:tcPr>
            <w:tcW w:w="5531" w:type="dxa"/>
            <w:tcBorders>
              <w:top w:val="single" w:color="auto" w:sz="6" w:space="0"/>
              <w:left w:val="single" w:color="auto" w:sz="6" w:space="0"/>
              <w:bottom w:val="single" w:color="auto" w:sz="6" w:space="0"/>
              <w:right w:val="single" w:color="auto" w:sz="6" w:space="0"/>
            </w:tcBorders>
            <w:vAlign w:val="center"/>
          </w:tcPr>
          <w:p>
            <w:pPr>
              <w:tabs>
                <w:tab w:val="left" w:pos="0"/>
                <w:tab w:val="clear" w:pos="426"/>
              </w:tabs>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评分规则</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241"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1</w:t>
            </w:r>
          </w:p>
        </w:tc>
        <w:tc>
          <w:tcPr>
            <w:tcW w:w="1773"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技术规格偏离情况</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36</w:t>
            </w:r>
          </w:p>
        </w:tc>
        <w:tc>
          <w:tcPr>
            <w:tcW w:w="5531" w:type="dxa"/>
            <w:tcBorders>
              <w:top w:val="single" w:color="auto" w:sz="6" w:space="0"/>
              <w:left w:val="single" w:color="auto" w:sz="6" w:space="0"/>
              <w:bottom w:val="single" w:color="auto" w:sz="6" w:space="0"/>
              <w:right w:val="single" w:color="auto" w:sz="6" w:space="0"/>
            </w:tcBorders>
            <w:vAlign w:val="center"/>
          </w:tcPr>
          <w:p>
            <w:pPr>
              <w:numPr>
                <w:ilvl w:val="0"/>
                <w:numId w:val="26"/>
              </w:numPr>
              <w:tabs>
                <w:tab w:val="left" w:pos="0"/>
                <w:tab w:val="clear" w:pos="426"/>
              </w:tabs>
              <w:jc w:val="left"/>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评分标准：</w:t>
            </w:r>
          </w:p>
          <w:p>
            <w:pPr>
              <w:tabs>
                <w:tab w:val="left" w:pos="0"/>
                <w:tab w:val="clear" w:pos="426"/>
              </w:tabs>
              <w:jc w:val="left"/>
              <w:rPr>
                <w:color w:val="000000" w:themeColor="text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投标人应如实填写技术规格偏离表。</w:t>
            </w:r>
          </w:p>
          <w:p>
            <w:pPr>
              <w:numPr>
                <w:ilvl w:val="0"/>
                <w:numId w:val="27"/>
              </w:numPr>
              <w:tabs>
                <w:tab w:val="left" w:pos="0"/>
                <w:tab w:val="clear" w:pos="426"/>
              </w:tabs>
              <w:ind w:left="0" w:firstLine="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带▲的技术参数为重点参数，每负偏离一项扣1.5分，不带▲的技术参数指标为一般参数，每负偏离一项扣0.7分，扣完为止；</w:t>
            </w:r>
          </w:p>
          <w:p>
            <w:pPr>
              <w:numPr>
                <w:ilvl w:val="0"/>
                <w:numId w:val="27"/>
              </w:numPr>
              <w:tabs>
                <w:tab w:val="left" w:pos="0"/>
                <w:tab w:val="clear" w:pos="426"/>
              </w:tabs>
              <w:ind w:left="0" w:firstLine="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带▲的技术参数需提供有效的证明文件来予以佐证符合招标要求；</w:t>
            </w:r>
          </w:p>
          <w:p>
            <w:pPr>
              <w:tabs>
                <w:tab w:val="left" w:pos="0"/>
                <w:tab w:val="clear" w:pos="426"/>
              </w:tabs>
              <w:jc w:val="left"/>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2、备注：</w:t>
            </w:r>
            <w:r>
              <w:rPr>
                <w:rFonts w:hint="eastAsia"/>
                <w:color w:val="000000" w:themeColor="text1"/>
                <w:szCs w:val="21"/>
                <w:highlight w:val="none"/>
                <w14:textFill>
                  <w14:solidFill>
                    <w14:schemeClr w14:val="tx1"/>
                  </w14:solidFill>
                </w14:textFill>
              </w:rPr>
              <w:t>未对招标文件技术参数要求进行逐条响应的，视为不满足招标文件要求，对其未响应的技术参数进行扣分。</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1773"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sz w:val="22"/>
                <w:highlight w:val="none"/>
                <w14:textFill>
                  <w14:solidFill>
                    <w14:schemeClr w14:val="tx1"/>
                  </w14:solidFill>
                </w14:textFill>
              </w:rPr>
            </w:pPr>
            <w:r>
              <w:rPr>
                <w:rFonts w:hint="eastAsia"/>
                <w:color w:val="000000" w:themeColor="text1"/>
                <w:sz w:val="22"/>
                <w:highlight w:val="none"/>
                <w14:textFill>
                  <w14:solidFill>
                    <w14:schemeClr w14:val="tx1"/>
                  </w14:solidFill>
                </w14:textFill>
              </w:rPr>
              <w:t>现场勘察情况</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p>
        </w:tc>
        <w:tc>
          <w:tcPr>
            <w:tcW w:w="5531" w:type="dxa"/>
            <w:tcBorders>
              <w:top w:val="single" w:color="auto" w:sz="6" w:space="0"/>
              <w:left w:val="single" w:color="auto" w:sz="6" w:space="0"/>
              <w:bottom w:val="single" w:color="auto" w:sz="6" w:space="0"/>
              <w:right w:val="single" w:color="auto" w:sz="6" w:space="0"/>
            </w:tcBorders>
          </w:tcPr>
          <w:p>
            <w:pPr>
              <w:numPr>
                <w:ilvl w:val="0"/>
                <w:numId w:val="28"/>
              </w:numPr>
              <w:tabs>
                <w:tab w:val="left" w:pos="0"/>
                <w:tab w:val="clear" w:pos="426"/>
              </w:tabs>
              <w:ind w:left="0" w:firstLine="0"/>
              <w:jc w:val="left"/>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评审标准：</w:t>
            </w:r>
            <w:r>
              <w:rPr>
                <w:rFonts w:hint="eastAsia"/>
                <w:color w:val="000000" w:themeColor="text1"/>
                <w:szCs w:val="21"/>
                <w:highlight w:val="none"/>
                <w14:textFill>
                  <w14:solidFill>
                    <w14:schemeClr w14:val="tx1"/>
                  </w14:solidFill>
                </w14:textFill>
              </w:rPr>
              <w:t>投标人需对招标单位进行现场踏勘。投标时提供用户现场踏勘证明（加盖用户单位公章）得2分，不提供不得分。</w:t>
            </w:r>
          </w:p>
          <w:p>
            <w:pPr>
              <w:numPr>
                <w:ilvl w:val="0"/>
                <w:numId w:val="28"/>
              </w:numPr>
              <w:tabs>
                <w:tab w:val="left" w:pos="0"/>
                <w:tab w:val="clear" w:pos="426"/>
              </w:tabs>
              <w:ind w:left="0" w:firstLine="0"/>
              <w:jc w:val="left"/>
              <w:rPr>
                <w:b/>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证明文件：</w:t>
            </w:r>
            <w:r>
              <w:rPr>
                <w:rFonts w:hint="eastAsia"/>
                <w:color w:val="000000" w:themeColor="text1"/>
                <w:szCs w:val="21"/>
                <w:highlight w:val="none"/>
                <w14:textFill>
                  <w14:solidFill>
                    <w14:schemeClr w14:val="tx1"/>
                  </w14:solidFill>
                </w14:textFill>
              </w:rPr>
              <w:t>投标人须提供用户盖章的现场踏勘证明文件的扫描件，原件备查。</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1773"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sz w:val="22"/>
                <w:highlight w:val="none"/>
                <w14:textFill>
                  <w14:solidFill>
                    <w14:schemeClr w14:val="tx1"/>
                  </w14:solidFill>
                </w14:textFill>
              </w:rPr>
            </w:pPr>
            <w:r>
              <w:rPr>
                <w:rFonts w:hint="eastAsia"/>
                <w:color w:val="000000" w:themeColor="text1"/>
                <w:sz w:val="22"/>
                <w:highlight w:val="none"/>
                <w14:textFill>
                  <w14:solidFill>
                    <w14:schemeClr w14:val="tx1"/>
                  </w14:solidFill>
                </w14:textFill>
              </w:rPr>
              <w:t>拟安排项目经理情况</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Cs/>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4</w:t>
            </w:r>
          </w:p>
        </w:tc>
        <w:tc>
          <w:tcPr>
            <w:tcW w:w="5531" w:type="dxa"/>
            <w:tcBorders>
              <w:top w:val="single" w:color="auto" w:sz="6" w:space="0"/>
              <w:left w:val="single" w:color="auto" w:sz="6" w:space="0"/>
              <w:bottom w:val="single" w:color="auto" w:sz="6" w:space="0"/>
              <w:right w:val="single" w:color="auto" w:sz="6" w:space="0"/>
            </w:tcBorders>
          </w:tcPr>
          <w:p>
            <w:pPr>
              <w:numPr>
                <w:ilvl w:val="0"/>
                <w:numId w:val="29"/>
              </w:numPr>
              <w:tabs>
                <w:tab w:val="left" w:pos="0"/>
                <w:tab w:val="clear" w:pos="426"/>
              </w:tabs>
              <w:ind w:left="0" w:firstLine="0"/>
              <w:jc w:val="left"/>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评审标准：</w:t>
            </w:r>
          </w:p>
          <w:p>
            <w:pPr>
              <w:tabs>
                <w:tab w:val="left" w:pos="0"/>
                <w:tab w:val="clear" w:pos="426"/>
              </w:tabs>
              <w:jc w:val="left"/>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投标人拟派出1名项目经理，符合如下要求：</w:t>
            </w:r>
          </w:p>
          <w:p>
            <w:pPr>
              <w:tabs>
                <w:tab w:val="left" w:pos="0"/>
                <w:tab w:val="clear" w:pos="426"/>
              </w:tabs>
              <w:jc w:val="left"/>
              <w:rPr>
                <w:b/>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①具有国家工信部或中国电子信息行业联合会颁发的信息系统集成及服务项目管理高级项目经理证书；</w:t>
            </w:r>
          </w:p>
          <w:p>
            <w:pPr>
              <w:tabs>
                <w:tab w:val="left" w:pos="0"/>
                <w:tab w:val="clear" w:pos="426"/>
              </w:tabs>
              <w:jc w:val="left"/>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②具有中国信息安全认证中心颁发的信息安全保障人员证书；</w:t>
            </w:r>
          </w:p>
          <w:p>
            <w:pPr>
              <w:tabs>
                <w:tab w:val="left" w:pos="0"/>
                <w:tab w:val="clear" w:pos="426"/>
              </w:tabs>
              <w:jc w:val="left"/>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③持有国家安全生产监督管理总局颁发的注册安全工程师执业证；</w:t>
            </w:r>
          </w:p>
          <w:p>
            <w:pPr>
              <w:tabs>
                <w:tab w:val="left" w:pos="0"/>
                <w:tab w:val="clear" w:pos="426"/>
              </w:tabs>
              <w:jc w:val="left"/>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④具有</w:t>
            </w:r>
            <w:r>
              <w:rPr>
                <w:bCs/>
                <w:color w:val="000000" w:themeColor="text1"/>
                <w:szCs w:val="21"/>
                <w:highlight w:val="none"/>
                <w14:textFill>
                  <w14:solidFill>
                    <w14:schemeClr w14:val="tx1"/>
                  </w14:solidFill>
                </w14:textFill>
              </w:rPr>
              <w:t>电子类或通信类高级职称证书</w:t>
            </w:r>
            <w:r>
              <w:rPr>
                <w:rFonts w:hint="eastAsia"/>
                <w:bCs/>
                <w:color w:val="000000" w:themeColor="text1"/>
                <w:szCs w:val="21"/>
                <w:highlight w:val="none"/>
                <w14:textFill>
                  <w14:solidFill>
                    <w14:schemeClr w14:val="tx1"/>
                  </w14:solidFill>
                </w14:textFill>
              </w:rPr>
              <w:t>；</w:t>
            </w:r>
          </w:p>
          <w:p>
            <w:pPr>
              <w:tabs>
                <w:tab w:val="left" w:pos="0"/>
                <w:tab w:val="clear" w:pos="426"/>
              </w:tabs>
              <w:jc w:val="left"/>
              <w:rPr>
                <w:b/>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以上要求每满足一项得1分，最多得4分；无提供不得分。</w:t>
            </w:r>
          </w:p>
          <w:p>
            <w:pPr>
              <w:numPr>
                <w:ilvl w:val="0"/>
                <w:numId w:val="29"/>
              </w:numPr>
              <w:tabs>
                <w:tab w:val="left" w:pos="0"/>
                <w:tab w:val="clear" w:pos="426"/>
              </w:tabs>
              <w:ind w:left="0" w:firstLine="0"/>
              <w:jc w:val="left"/>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证明文件：</w:t>
            </w:r>
            <w:r>
              <w:rPr>
                <w:rFonts w:hint="eastAsia"/>
                <w:bCs/>
                <w:color w:val="000000" w:themeColor="text1"/>
                <w:szCs w:val="21"/>
                <w:highlight w:val="none"/>
                <w:lang w:val="zh-CN"/>
                <w14:textFill>
                  <w14:solidFill>
                    <w14:schemeClr w14:val="tx1"/>
                  </w14:solidFill>
                </w14:textFill>
              </w:rPr>
              <w:t>投标人须提供以上相关证书扫描件</w:t>
            </w:r>
            <w:r>
              <w:rPr>
                <w:rFonts w:hint="eastAsia"/>
                <w:bCs/>
                <w:color w:val="000000" w:themeColor="text1"/>
                <w:szCs w:val="21"/>
                <w:highlight w:val="none"/>
                <w14:textFill>
                  <w14:solidFill>
                    <w14:schemeClr w14:val="tx1"/>
                  </w14:solidFill>
                </w14:textFill>
              </w:rPr>
              <w:t>以及投标人为其缴纳的近三个月社保部门出具的社保缴交证明材料（如开标日上一个月的社保材料因社保部门原因暂时无法取得，则可以往前顺延一个月）。</w:t>
            </w:r>
            <w:r>
              <w:rPr>
                <w:rFonts w:hint="eastAsia"/>
                <w:bCs/>
                <w:color w:val="000000" w:themeColor="text1"/>
                <w:szCs w:val="21"/>
                <w:highlight w:val="none"/>
                <w:lang w:val="zh-CN"/>
                <w14:textFill>
                  <w14:solidFill>
                    <w14:schemeClr w14:val="tx1"/>
                  </w14:solidFill>
                </w14:textFill>
              </w:rPr>
              <w:t>原件备查。</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w:t>
            </w:r>
          </w:p>
        </w:tc>
        <w:tc>
          <w:tcPr>
            <w:tcW w:w="1773"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sz w:val="22"/>
                <w:highlight w:val="none"/>
                <w14:textFill>
                  <w14:solidFill>
                    <w14:schemeClr w14:val="tx1"/>
                  </w14:solidFill>
                </w14:textFill>
              </w:rPr>
            </w:pPr>
            <w:r>
              <w:rPr>
                <w:rFonts w:hint="eastAsia"/>
                <w:color w:val="000000" w:themeColor="text1"/>
                <w:sz w:val="22"/>
                <w:highlight w:val="none"/>
                <w14:textFill>
                  <w14:solidFill>
                    <w14:schemeClr w14:val="tx1"/>
                  </w14:solidFill>
                </w14:textFill>
              </w:rPr>
              <w:t>拟安排项目实施成员情况（项目经理除外）</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4</w:t>
            </w:r>
          </w:p>
        </w:tc>
        <w:tc>
          <w:tcPr>
            <w:tcW w:w="5531" w:type="dxa"/>
            <w:tcBorders>
              <w:top w:val="single" w:color="auto" w:sz="6" w:space="0"/>
              <w:left w:val="single" w:color="auto" w:sz="6" w:space="0"/>
              <w:bottom w:val="single" w:color="auto" w:sz="6" w:space="0"/>
              <w:right w:val="single" w:color="auto" w:sz="6" w:space="0"/>
            </w:tcBorders>
          </w:tcPr>
          <w:p>
            <w:pPr>
              <w:pStyle w:val="280"/>
              <w:numPr>
                <w:ilvl w:val="0"/>
                <w:numId w:val="30"/>
              </w:numPr>
              <w:ind w:left="0" w:firstLine="0" w:firstLineChars="0"/>
              <w:jc w:val="lef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评审标准：</w:t>
            </w:r>
          </w:p>
          <w:p>
            <w:pPr>
              <w:pStyle w:val="280"/>
              <w:ind w:firstLine="0" w:firstLineChars="0"/>
              <w:jc w:val="left"/>
              <w:rPr>
                <w:rFonts w:ascii="宋体" w:hAnsi="宋体"/>
                <w:b/>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投标人为本项目安排项目实施人员至少30人，需具备以下资格证书：</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1）具有国家信息产业部或人力资源和社会保障部门颁发的通信类或电子类中级或以上职称且同时具有广东省住房和城乡建设厅颁发的安全生产考核C证的人员至少6名；</w:t>
            </w:r>
          </w:p>
          <w:p>
            <w:pPr>
              <w:tabs>
                <w:tab w:val="left" w:pos="0"/>
                <w:tab w:val="clear" w:pos="426"/>
              </w:tabs>
              <w:wordWrap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2）具备</w:t>
            </w:r>
            <w:r>
              <w:rPr>
                <w:rFonts w:hint="eastAsia"/>
                <w:bCs/>
                <w:color w:val="000000" w:themeColor="text1"/>
                <w:szCs w:val="21"/>
                <w:highlight w:val="none"/>
                <w14:textFill>
                  <w14:solidFill>
                    <w14:schemeClr w14:val="tx1"/>
                  </w14:solidFill>
                </w14:textFill>
              </w:rPr>
              <w:t>ITIL 认证证书和OCP-Oracle 数据库认证专家证书人员不少于2 名；</w:t>
            </w:r>
          </w:p>
          <w:p>
            <w:pPr>
              <w:tabs>
                <w:tab w:val="left" w:pos="0"/>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 3）具备工业和信息化部教育与考试中心颁发的高级网络技术工程师至少2名；</w:t>
            </w:r>
          </w:p>
          <w:p>
            <w:pPr>
              <w:tabs>
                <w:tab w:val="left" w:pos="0"/>
                <w:tab w:val="clear" w:pos="426"/>
              </w:tabs>
              <w:rPr>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w:t>
            </w:r>
            <w:r>
              <w:rPr>
                <w:rFonts w:hint="eastAsia"/>
                <w:bCs/>
                <w:color w:val="000000" w:themeColor="text1"/>
                <w:szCs w:val="21"/>
                <w:highlight w:val="none"/>
                <w14:textFill>
                  <w14:solidFill>
                    <w14:schemeClr w14:val="tx1"/>
                  </w14:solidFill>
                </w14:textFill>
              </w:rPr>
              <w:t>具备中国计算机软件专业技术资格和水平考试委员会颁发的系统分析员至少1 名；</w:t>
            </w:r>
          </w:p>
          <w:p>
            <w:pPr>
              <w:tabs>
                <w:tab w:val="left" w:pos="0"/>
                <w:tab w:val="clear" w:pos="426"/>
              </w:tabs>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5）具有安全生产监督管理局颁发的低压电工作业证证书的现场作业人员不少于1</w:t>
            </w:r>
            <w:r>
              <w:rPr>
                <w:bCs/>
                <w:color w:val="000000" w:themeColor="text1"/>
                <w:szCs w:val="21"/>
                <w:highlight w:val="none"/>
                <w14:textFill>
                  <w14:solidFill>
                    <w14:schemeClr w14:val="tx1"/>
                  </w14:solidFill>
                </w14:textFill>
              </w:rPr>
              <w:t>0</w:t>
            </w:r>
            <w:r>
              <w:rPr>
                <w:rFonts w:hint="eastAsia"/>
                <w:bCs/>
                <w:color w:val="000000" w:themeColor="text1"/>
                <w:szCs w:val="21"/>
                <w:highlight w:val="none"/>
                <w14:textFill>
                  <w14:solidFill>
                    <w14:schemeClr w14:val="tx1"/>
                  </w14:solidFill>
                </w14:textFill>
              </w:rPr>
              <w:t>人</w:t>
            </w:r>
            <w:r>
              <w:rPr>
                <w:bCs/>
                <w:color w:val="000000" w:themeColor="text1"/>
                <w:szCs w:val="21"/>
                <w:highlight w:val="none"/>
                <w14:textFill>
                  <w14:solidFill>
                    <w14:schemeClr w14:val="tx1"/>
                  </w14:solidFill>
                </w14:textFill>
              </w:rPr>
              <w:t>；</w:t>
            </w:r>
          </w:p>
          <w:p>
            <w:pPr>
              <w:tabs>
                <w:tab w:val="left" w:pos="0"/>
                <w:tab w:val="clear" w:pos="426"/>
              </w:tabs>
              <w:wordWrap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以上要求每满足一项得1分，最多不超过4分；无提供不得分，同一人有多个证书的只计算一个。</w:t>
            </w:r>
          </w:p>
          <w:p>
            <w:pPr>
              <w:numPr>
                <w:ilvl w:val="0"/>
                <w:numId w:val="30"/>
              </w:numPr>
              <w:tabs>
                <w:tab w:val="left" w:pos="0"/>
                <w:tab w:val="clear" w:pos="426"/>
              </w:tabs>
              <w:ind w:left="0" w:firstLine="0"/>
              <w:jc w:val="left"/>
              <w:rPr>
                <w:b/>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证明文件：</w:t>
            </w:r>
            <w:r>
              <w:rPr>
                <w:rFonts w:hint="eastAsia"/>
                <w:bCs/>
                <w:color w:val="000000" w:themeColor="text1"/>
                <w:szCs w:val="21"/>
                <w:highlight w:val="none"/>
                <w:lang w:val="zh-CN"/>
                <w14:textFill>
                  <w14:solidFill>
                    <w14:schemeClr w14:val="tx1"/>
                  </w14:solidFill>
                </w14:textFill>
              </w:rPr>
              <w:t>投标人须提供以上相关证书扫描件</w:t>
            </w:r>
            <w:r>
              <w:rPr>
                <w:rFonts w:hint="eastAsia"/>
                <w:bCs/>
                <w:color w:val="000000" w:themeColor="text1"/>
                <w:szCs w:val="21"/>
                <w:highlight w:val="none"/>
                <w14:textFill>
                  <w14:solidFill>
                    <w14:schemeClr w14:val="tx1"/>
                  </w14:solidFill>
                </w14:textFill>
              </w:rPr>
              <w:t>以及投标人为其缴纳的近三个月（如开标日上一个月的社保材料因社保部门原因暂时无法取得，则可以往前顺延一个月）社保部门出具的社保缴交证明材料。</w:t>
            </w:r>
            <w:r>
              <w:rPr>
                <w:rFonts w:hint="eastAsia"/>
                <w:bCs/>
                <w:color w:val="000000" w:themeColor="text1"/>
                <w:szCs w:val="21"/>
                <w:highlight w:val="none"/>
                <w:lang w:val="zh-CN"/>
                <w14:textFill>
                  <w14:solidFill>
                    <w14:schemeClr w14:val="tx1"/>
                  </w14:solidFill>
                </w14:textFill>
              </w:rPr>
              <w:t>原件备查。</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p>
        </w:tc>
        <w:tc>
          <w:tcPr>
            <w:tcW w:w="1773"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highlight w:val="none"/>
                <w14:textFill>
                  <w14:solidFill>
                    <w14:schemeClr w14:val="tx1"/>
                  </w14:solidFill>
                </w14:textFill>
              </w:rPr>
            </w:pPr>
            <w:r>
              <w:rPr>
                <w:rFonts w:hint="eastAsia"/>
                <w:color w:val="000000" w:themeColor="text1"/>
                <w:sz w:val="22"/>
                <w:highlight w:val="none"/>
                <w14:textFill>
                  <w14:solidFill>
                    <w14:schemeClr w14:val="tx1"/>
                  </w14:solidFill>
                </w14:textFill>
              </w:rPr>
              <w:t>项目实施方案</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p>
        </w:tc>
        <w:tc>
          <w:tcPr>
            <w:tcW w:w="5531" w:type="dxa"/>
            <w:tcBorders>
              <w:top w:val="single" w:color="auto" w:sz="6" w:space="0"/>
              <w:left w:val="single" w:color="auto" w:sz="6" w:space="0"/>
              <w:bottom w:val="single" w:color="auto" w:sz="6" w:space="0"/>
              <w:right w:val="single" w:color="auto" w:sz="6" w:space="0"/>
            </w:tcBorders>
          </w:tcPr>
          <w:p>
            <w:pPr>
              <w:tabs>
                <w:tab w:val="left" w:pos="0"/>
                <w:tab w:val="clear" w:pos="426"/>
              </w:tabs>
              <w:spacing w:line="320" w:lineRule="exact"/>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1、评审标准：</w:t>
            </w:r>
          </w:p>
          <w:p>
            <w:pPr>
              <w:tabs>
                <w:tab w:val="left" w:pos="0"/>
                <w:tab w:val="clear" w:pos="426"/>
              </w:tabs>
              <w:spacing w:line="320" w:lineRule="exact"/>
              <w:rPr>
                <w:b/>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根据投标人提供的实施措施方案、质量</w:t>
            </w:r>
            <w:r>
              <w:rPr>
                <w:rFonts w:hint="eastAsia"/>
                <w:color w:val="000000" w:themeColor="text1"/>
                <w:szCs w:val="21"/>
                <w:highlight w:val="none"/>
                <w:lang w:eastAsia="zh-CN"/>
                <w14:textFill>
                  <w14:solidFill>
                    <w14:schemeClr w14:val="tx1"/>
                  </w14:solidFill>
                </w14:textFill>
              </w:rPr>
              <w:t>、进度</w:t>
            </w:r>
            <w:r>
              <w:rPr>
                <w:rFonts w:hint="eastAsia"/>
                <w:color w:val="000000" w:themeColor="text1"/>
                <w:szCs w:val="21"/>
                <w:highlight w:val="none"/>
                <w14:textFill>
                  <w14:solidFill>
                    <w14:schemeClr w14:val="tx1"/>
                  </w14:solidFill>
                </w14:textFill>
              </w:rPr>
              <w:t>保证措施方案、安装调试方案、验收安排方面</w:t>
            </w:r>
            <w:r>
              <w:rPr>
                <w:rFonts w:hint="eastAsia"/>
                <w:color w:val="000000" w:themeColor="text1"/>
                <w:szCs w:val="21"/>
                <w:highlight w:val="none"/>
                <w:lang w:eastAsia="zh-CN"/>
                <w14:textFill>
                  <w14:solidFill>
                    <w14:schemeClr w14:val="tx1"/>
                  </w14:solidFill>
                </w14:textFill>
              </w:rPr>
              <w:t>的合理性、有效性</w:t>
            </w:r>
            <w:r>
              <w:rPr>
                <w:rFonts w:hint="eastAsia"/>
                <w:color w:val="000000" w:themeColor="text1"/>
                <w:sz w:val="22"/>
                <w:highlight w:val="none"/>
                <w14:textFill>
                  <w14:solidFill>
                    <w14:schemeClr w14:val="tx1"/>
                  </w14:solidFill>
                </w14:textFill>
              </w:rPr>
              <w:t>进行横向比较</w:t>
            </w:r>
            <w:r>
              <w:rPr>
                <w:rFonts w:hint="eastAsia"/>
                <w:color w:val="000000" w:themeColor="text1"/>
                <w:sz w:val="22"/>
                <w:highlight w:val="none"/>
                <w:lang w:eastAsia="zh-CN"/>
                <w14:textFill>
                  <w14:solidFill>
                    <w14:schemeClr w14:val="tx1"/>
                  </w14:solidFill>
                </w14:textFill>
              </w:rPr>
              <w:t>，综合排序，排名第一的评价为优，得</w:t>
            </w:r>
            <w:r>
              <w:rPr>
                <w:rFonts w:hint="eastAsia"/>
                <w:color w:val="000000" w:themeColor="text1"/>
                <w:sz w:val="22"/>
                <w:highlight w:val="none"/>
                <w:lang w:val="en-US" w:eastAsia="zh-CN"/>
                <w14:textFill>
                  <w14:solidFill>
                    <w14:schemeClr w14:val="tx1"/>
                  </w14:solidFill>
                </w14:textFill>
              </w:rPr>
              <w:t>2分；</w:t>
            </w:r>
            <w:r>
              <w:rPr>
                <w:rFonts w:hint="eastAsia"/>
                <w:color w:val="000000" w:themeColor="text1"/>
                <w:sz w:val="22"/>
                <w:highlight w:val="none"/>
                <w:lang w:eastAsia="zh-CN"/>
                <w14:textFill>
                  <w14:solidFill>
                    <w14:schemeClr w14:val="tx1"/>
                  </w14:solidFill>
                </w14:textFill>
              </w:rPr>
              <w:t>第二的为良，得</w:t>
            </w:r>
            <w:r>
              <w:rPr>
                <w:rFonts w:hint="eastAsia"/>
                <w:color w:val="000000" w:themeColor="text1"/>
                <w:sz w:val="22"/>
                <w:highlight w:val="none"/>
                <w:lang w:val="en-US" w:eastAsia="zh-CN"/>
                <w14:textFill>
                  <w14:solidFill>
                    <w14:schemeClr w14:val="tx1"/>
                  </w14:solidFill>
                </w14:textFill>
              </w:rPr>
              <w:t>1.4分；</w:t>
            </w:r>
            <w:r>
              <w:rPr>
                <w:rFonts w:hint="eastAsia"/>
                <w:color w:val="000000" w:themeColor="text1"/>
                <w:sz w:val="22"/>
                <w:highlight w:val="none"/>
                <w:lang w:eastAsia="zh-CN"/>
                <w14:textFill>
                  <w14:solidFill>
                    <w14:schemeClr w14:val="tx1"/>
                  </w14:solidFill>
                </w14:textFill>
              </w:rPr>
              <w:t>第三的为中，得</w:t>
            </w:r>
            <w:r>
              <w:rPr>
                <w:rFonts w:hint="eastAsia"/>
                <w:color w:val="000000" w:themeColor="text1"/>
                <w:sz w:val="22"/>
                <w:highlight w:val="none"/>
                <w:lang w:val="en-US" w:eastAsia="zh-CN"/>
                <w14:textFill>
                  <w14:solidFill>
                    <w14:schemeClr w14:val="tx1"/>
                  </w14:solidFill>
                </w14:textFill>
              </w:rPr>
              <w:t>1分；</w:t>
            </w:r>
            <w:r>
              <w:rPr>
                <w:rFonts w:hint="eastAsia"/>
                <w:color w:val="000000" w:themeColor="text1"/>
                <w:sz w:val="22"/>
                <w:highlight w:val="none"/>
                <w:lang w:eastAsia="zh-CN"/>
                <w14:textFill>
                  <w14:solidFill>
                    <w14:schemeClr w14:val="tx1"/>
                  </w14:solidFill>
                </w14:textFill>
              </w:rPr>
              <w:t>其他为差，不得分</w:t>
            </w:r>
            <w:r>
              <w:rPr>
                <w:rFonts w:hint="eastAsia"/>
                <w:color w:val="000000" w:themeColor="text1"/>
                <w:szCs w:val="21"/>
                <w:highlight w:val="none"/>
                <w14:textFill>
                  <w14:solidFill>
                    <w14:schemeClr w14:val="tx1"/>
                  </w14:solidFill>
                </w14:textFill>
              </w:rPr>
              <w:t>。</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jc w:val="lef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6</w:t>
            </w:r>
          </w:p>
        </w:tc>
        <w:tc>
          <w:tcPr>
            <w:tcW w:w="1773" w:type="dxa"/>
            <w:tcBorders>
              <w:top w:val="single" w:color="auto" w:sz="6" w:space="0"/>
              <w:left w:val="single" w:color="auto" w:sz="6" w:space="0"/>
              <w:bottom w:val="single" w:color="auto" w:sz="6" w:space="0"/>
              <w:right w:val="single" w:color="auto" w:sz="6" w:space="0"/>
            </w:tcBorders>
            <w:vAlign w:val="center"/>
          </w:tcPr>
          <w:p>
            <w:pPr>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售后服务</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p>
        </w:tc>
        <w:tc>
          <w:tcPr>
            <w:tcW w:w="5531" w:type="dxa"/>
            <w:tcBorders>
              <w:top w:val="single" w:color="auto" w:sz="6" w:space="0"/>
              <w:left w:val="single" w:color="auto" w:sz="6" w:space="0"/>
              <w:bottom w:val="single" w:color="auto" w:sz="6" w:space="0"/>
              <w:right w:val="single" w:color="auto" w:sz="6" w:space="0"/>
            </w:tcBorders>
            <w:vAlign w:val="center"/>
          </w:tcPr>
          <w:p>
            <w:pPr>
              <w:numPr>
                <w:ilvl w:val="0"/>
                <w:numId w:val="31"/>
              </w:numPr>
              <w:tabs>
                <w:tab w:val="left" w:pos="0"/>
                <w:tab w:val="clear" w:pos="426"/>
              </w:tabs>
              <w:jc w:val="left"/>
              <w:rPr>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评审内容</w:t>
            </w:r>
            <w:r>
              <w:rPr>
                <w:rFonts w:hint="eastAsia"/>
                <w:bCs/>
                <w:color w:val="000000" w:themeColor="text1"/>
                <w:szCs w:val="21"/>
                <w:highlight w:val="none"/>
                <w14:textFill>
                  <w14:solidFill>
                    <w14:schemeClr w14:val="tx1"/>
                  </w14:solidFill>
                </w14:textFill>
              </w:rPr>
              <w:t>：</w:t>
            </w:r>
            <w:r>
              <w:rPr>
                <w:rFonts w:hint="eastAsia"/>
                <w:color w:val="000000" w:themeColor="text1"/>
                <w:sz w:val="22"/>
                <w:highlight w:val="none"/>
                <w14:textFill>
                  <w14:solidFill>
                    <w14:schemeClr w14:val="tx1"/>
                  </w14:solidFill>
                </w14:textFill>
              </w:rPr>
              <w:t>根据投标人是否在</w:t>
            </w:r>
            <w:r>
              <w:rPr>
                <w:rFonts w:hint="eastAsia"/>
                <w:color w:val="000000" w:themeColor="text1"/>
                <w:sz w:val="22"/>
                <w:highlight w:val="none"/>
                <w:lang w:eastAsia="zh-CN"/>
                <w14:textFill>
                  <w14:solidFill>
                    <w14:schemeClr w14:val="tx1"/>
                  </w14:solidFill>
                </w14:textFill>
              </w:rPr>
              <w:t>深圳市</w:t>
            </w:r>
            <w:r>
              <w:rPr>
                <w:rFonts w:hint="eastAsia"/>
                <w:color w:val="000000" w:themeColor="text1"/>
                <w:sz w:val="22"/>
                <w:highlight w:val="none"/>
                <w14:textFill>
                  <w14:solidFill>
                    <w14:schemeClr w14:val="tx1"/>
                  </w14:solidFill>
                </w14:textFill>
              </w:rPr>
              <w:t>具有稳定的售后服务机构，在</w:t>
            </w:r>
            <w:r>
              <w:rPr>
                <w:rFonts w:hint="eastAsia"/>
                <w:color w:val="000000" w:themeColor="text1"/>
                <w:sz w:val="22"/>
                <w:highlight w:val="none"/>
                <w:lang w:eastAsia="zh-CN"/>
                <w14:textFill>
                  <w14:solidFill>
                    <w14:schemeClr w14:val="tx1"/>
                  </w14:solidFill>
                </w14:textFill>
              </w:rPr>
              <w:t>深圳市</w:t>
            </w:r>
            <w:r>
              <w:rPr>
                <w:rFonts w:hint="eastAsia"/>
                <w:color w:val="000000" w:themeColor="text1"/>
                <w:sz w:val="22"/>
                <w:highlight w:val="none"/>
                <w14:textFill>
                  <w14:solidFill>
                    <w14:schemeClr w14:val="tx1"/>
                  </w14:solidFill>
                </w14:textFill>
              </w:rPr>
              <w:t>具有工商注册服务机构的得2分；无工商注册服务机构能提供自有或租赁服务场所证明的得1分（租赁服务场所需提供近半年租赁发票）；</w:t>
            </w:r>
          </w:p>
          <w:p>
            <w:pPr>
              <w:numPr>
                <w:ilvl w:val="0"/>
                <w:numId w:val="31"/>
              </w:numPr>
              <w:tabs>
                <w:tab w:val="left" w:pos="0"/>
                <w:tab w:val="clear" w:pos="426"/>
              </w:tabs>
              <w:jc w:val="left"/>
              <w:rPr>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评分标准：</w:t>
            </w:r>
            <w:r>
              <w:rPr>
                <w:rFonts w:hint="eastAsia"/>
                <w:bCs/>
                <w:color w:val="000000" w:themeColor="text1"/>
                <w:szCs w:val="21"/>
                <w:highlight w:val="none"/>
                <w14:textFill>
                  <w14:solidFill>
                    <w14:schemeClr w14:val="tx1"/>
                  </w14:solidFill>
                </w14:textFill>
              </w:rPr>
              <w:t>投标人</w:t>
            </w:r>
            <w:r>
              <w:rPr>
                <w:rFonts w:hint="eastAsia"/>
                <w:bCs/>
                <w:color w:val="000000" w:themeColor="text1"/>
                <w:szCs w:val="21"/>
                <w:highlight w:val="none"/>
                <w:lang w:val="zh-CN"/>
                <w14:textFill>
                  <w14:solidFill>
                    <w14:schemeClr w14:val="tx1"/>
                  </w14:solidFill>
                </w14:textFill>
              </w:rPr>
              <w:t>须提供</w:t>
            </w:r>
            <w:r>
              <w:rPr>
                <w:rFonts w:hint="eastAsia"/>
                <w:bCs/>
                <w:color w:val="000000" w:themeColor="text1"/>
                <w:szCs w:val="21"/>
                <w:highlight w:val="none"/>
                <w14:textFill>
                  <w14:solidFill>
                    <w14:schemeClr w14:val="tx1"/>
                  </w14:solidFill>
                </w14:textFill>
              </w:rPr>
              <w:t>有效的营业执照、房屋产权证明文件扫描件</w:t>
            </w:r>
            <w:r>
              <w:rPr>
                <w:rFonts w:hint="eastAsia"/>
                <w:bCs/>
                <w:color w:val="000000" w:themeColor="text1"/>
                <w:szCs w:val="21"/>
                <w:highlight w:val="none"/>
                <w:lang w:val="zh-CN"/>
                <w14:textFill>
                  <w14:solidFill>
                    <w14:schemeClr w14:val="tx1"/>
                  </w14:solidFill>
                </w14:textFill>
              </w:rPr>
              <w:t>，不满足或未提供有效证明文件的，不得分，原件备查。</w:t>
            </w:r>
          </w:p>
        </w:tc>
        <w:tc>
          <w:tcPr>
            <w:tcW w:w="1283" w:type="dxa"/>
            <w:tcBorders>
              <w:top w:val="single" w:color="auto" w:sz="6" w:space="0"/>
              <w:left w:val="single" w:color="auto" w:sz="6" w:space="0"/>
              <w:bottom w:val="single" w:color="auto" w:sz="6" w:space="0"/>
              <w:right w:val="single" w:color="auto" w:sz="6" w:space="0"/>
            </w:tcBorders>
            <w:vAlign w:val="center"/>
          </w:tcPr>
          <w:p>
            <w:pPr>
              <w:autoSpaceDE w:val="0"/>
              <w:autoSpaceDN w:val="0"/>
              <w:jc w:val="center"/>
              <w:rPr>
                <w:color w:val="000000" w:themeColor="text1"/>
                <w:szCs w:val="21"/>
                <w:highlight w:val="none"/>
                <w:lang w:val="zh-CN"/>
                <w14:textFill>
                  <w14:solidFill>
                    <w14:schemeClr w14:val="tx1"/>
                  </w14:solidFill>
                </w14:textFill>
              </w:rPr>
            </w:pPr>
            <w:r>
              <w:rPr>
                <w:rFonts w:hint="eastAsia"/>
                <w:color w:val="000000" w:themeColor="text1"/>
                <w:szCs w:val="21"/>
                <w:highlight w:val="none"/>
                <w:lang w:val="zh-CN"/>
                <w14:textFill>
                  <w14:solidFill>
                    <w14:schemeClr w14:val="tx1"/>
                  </w14:solidFill>
                </w14:textFill>
              </w:rPr>
              <w:t>专家打分</w:t>
            </w:r>
          </w:p>
        </w:tc>
      </w:tr>
    </w:tbl>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 有取值范围的，含上限值不含下限值。每一项的得分均不能超过该项最高分值。</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缺项则该项为0分或不合格为0分。</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 价格、技术、商务部分为针对项目具体情况设置项目，累加满分为100分，固定额外加分部分为固定设置项，对涉及政策导向优先采购产品进行额外加分。</w:t>
      </w:r>
    </w:p>
    <w:p>
      <w:pPr>
        <w:tabs>
          <w:tab w:val="clear" w:pos="426"/>
        </w:tabs>
        <w:spacing w:line="240" w:lineRule="auto"/>
        <w:ind w:firstLine="424" w:firstLineChars="202"/>
        <w:rPr>
          <w:rFonts w:ascii="Arial" w:hAnsi="Arial" w:cs="Arial"/>
          <w:snapToGrid w:val="0"/>
          <w:color w:val="000000" w:themeColor="text1"/>
          <w:szCs w:val="18"/>
          <w:highlight w:val="none"/>
          <w14:textFill>
            <w14:solidFill>
              <w14:schemeClr w14:val="tx1"/>
            </w14:solidFill>
          </w14:textFill>
        </w:rPr>
      </w:pPr>
      <w:r>
        <w:rPr>
          <w:rFonts w:hint="eastAsia"/>
          <w:color w:val="000000" w:themeColor="text1"/>
          <w:highlight w:val="none"/>
          <w14:textFill>
            <w14:solidFill>
              <w14:schemeClr w14:val="tx1"/>
            </w14:solidFill>
          </w14:textFill>
        </w:rPr>
        <w:t>4. 综合以上</w:t>
      </w:r>
      <w:r>
        <w:rPr>
          <w:rFonts w:hint="eastAsia"/>
          <w:snapToGrid w:val="0"/>
          <w:color w:val="000000" w:themeColor="text1"/>
          <w:highlight w:val="none"/>
          <w14:textFill>
            <w14:solidFill>
              <w14:schemeClr w14:val="tx1"/>
            </w14:solidFill>
          </w14:textFill>
        </w:rPr>
        <w:t>分析比较，评委会将对各投标文件进行书面的量化评定，得分</w:t>
      </w:r>
      <w:r>
        <w:rPr>
          <w:rFonts w:ascii="Arial" w:hAnsi="Arial" w:cs="Arial"/>
          <w:snapToGrid w:val="0"/>
          <w:color w:val="000000" w:themeColor="text1"/>
          <w:szCs w:val="18"/>
          <w:highlight w:val="none"/>
          <w14:textFill>
            <w14:solidFill>
              <w14:schemeClr w14:val="tx1"/>
            </w14:solidFill>
          </w14:textFill>
        </w:rPr>
        <w:t>精确到小数点后两位</w:t>
      </w:r>
      <w:r>
        <w:rPr>
          <w:rFonts w:hint="eastAsia" w:ascii="Arial" w:hAnsi="Arial" w:cs="Arial"/>
          <w:snapToGrid w:val="0"/>
          <w:color w:val="000000" w:themeColor="text1"/>
          <w:szCs w:val="18"/>
          <w:highlight w:val="none"/>
          <w14:textFill>
            <w14:solidFill>
              <w14:schemeClr w14:val="tx1"/>
            </w14:solidFill>
          </w14:textFill>
        </w:rPr>
        <w:t>。</w:t>
      </w:r>
    </w:p>
    <w:p>
      <w:pPr>
        <w:tabs>
          <w:tab w:val="clear" w:pos="426"/>
        </w:tabs>
        <w:spacing w:line="240" w:lineRule="auto"/>
        <w:ind w:firstLine="424" w:firstLineChars="202"/>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5.客观评分项，所有评审专家应当统一打分分值；主观评分项，评审专家应当按照打分标准独立打分，对于单项打分低于60%或者达到100%，评审专家需要做出书面合理说明。</w:t>
      </w:r>
    </w:p>
    <w:p>
      <w:pPr>
        <w:tabs>
          <w:tab w:val="clear" w:pos="426"/>
        </w:tabs>
        <w:spacing w:line="240" w:lineRule="auto"/>
        <w:ind w:firstLine="424" w:firstLineChars="202"/>
        <w:jc w:val="left"/>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6.根据财政部《关于在政府采购活动中查询及使用信用记录有关问题的通知》（财库</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2016</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125号</w:t>
      </w:r>
      <w:r>
        <w:rPr>
          <w:rFonts w:hint="eastAsia"/>
          <w:bCs/>
          <w:color w:val="000000" w:themeColor="text1"/>
          <w:highlight w:val="none"/>
          <w14:textFill>
            <w14:solidFill>
              <w14:schemeClr w14:val="tx1"/>
            </w14:solidFill>
          </w14:textFill>
        </w:rPr>
        <w:t>）、《深圳市政府采购供应商诚信管理暂行办法》（深财规〔</w:t>
      </w:r>
      <w:r>
        <w:rPr>
          <w:bCs/>
          <w:color w:val="000000" w:themeColor="text1"/>
          <w:highlight w:val="none"/>
          <w14:textFill>
            <w14:solidFill>
              <w14:schemeClr w14:val="tx1"/>
            </w14:solidFill>
          </w14:textFill>
        </w:rPr>
        <w:t>2017〕8号</w:t>
      </w:r>
      <w:r>
        <w:rPr>
          <w:rFonts w:hint="eastAsia"/>
          <w:bCs/>
          <w:color w:val="000000" w:themeColor="text1"/>
          <w:highlight w:val="none"/>
          <w14:textFill>
            <w14:solidFill>
              <w14:schemeClr w14:val="tx1"/>
            </w14:solidFill>
          </w14:textFill>
        </w:rPr>
        <w:t>），供应商信用信息的查询渠道为“信用中国（</w:t>
      </w:r>
      <w:r>
        <w:rPr>
          <w:bCs/>
          <w:color w:val="000000" w:themeColor="text1"/>
          <w:highlight w:val="none"/>
          <w14:textFill>
            <w14:solidFill>
              <w14:schemeClr w14:val="tx1"/>
            </w14:solidFill>
          </w14:textFill>
        </w:rPr>
        <w:t>https://www.creditchina.gov.cn/</w:t>
      </w:r>
      <w:r>
        <w:rPr>
          <w:rFonts w:hint="eastAsia"/>
          <w:bCs/>
          <w:color w:val="000000" w:themeColor="text1"/>
          <w:highlight w:val="none"/>
          <w14:textFill>
            <w14:solidFill>
              <w14:schemeClr w14:val="tx1"/>
            </w14:solidFill>
          </w14:textFill>
        </w:rPr>
        <w:t>）”、 “中国政府采购网（</w:t>
      </w:r>
      <w:r>
        <w:rPr>
          <w:bCs/>
          <w:color w:val="000000" w:themeColor="text1"/>
          <w:highlight w:val="none"/>
          <w14:textFill>
            <w14:solidFill>
              <w14:schemeClr w14:val="tx1"/>
            </w14:solidFill>
          </w14:textFill>
        </w:rPr>
        <w:t>http://www.ccgp.gov.cn/</w:t>
      </w:r>
      <w:r>
        <w:rPr>
          <w:rFonts w:hint="eastAsia"/>
          <w:bCs/>
          <w:color w:val="000000" w:themeColor="text1"/>
          <w:highlight w:val="none"/>
          <w14:textFill>
            <w14:solidFill>
              <w14:schemeClr w14:val="tx1"/>
            </w14:solidFill>
          </w14:textFill>
        </w:rPr>
        <w:t>）”、“深圳市政府采购监管网（</w:t>
      </w:r>
      <w:r>
        <w:rPr>
          <w:bCs/>
          <w:color w:val="000000" w:themeColor="text1"/>
          <w:highlight w:val="none"/>
          <w14:textFill>
            <w14:solidFill>
              <w14:schemeClr w14:val="tx1"/>
            </w14:solidFill>
          </w14:textFill>
        </w:rPr>
        <w:t>http://www.zfcg.sz.gov.cn/</w:t>
      </w:r>
      <w:r>
        <w:rPr>
          <w:rFonts w:hint="eastAsia"/>
          <w:bCs/>
          <w:color w:val="000000" w:themeColor="text1"/>
          <w:highlight w:val="none"/>
          <w14:textFill>
            <w14:solidFill>
              <w14:schemeClr w14:val="tx1"/>
            </w14:solidFill>
          </w14:textFill>
        </w:rPr>
        <w:t>）”，相关信息以中标通知书发出前的查询结果为准。</w:t>
      </w:r>
    </w:p>
    <w:p>
      <w:pPr>
        <w:tabs>
          <w:tab w:val="clear" w:pos="426"/>
        </w:tabs>
        <w:spacing w:line="240" w:lineRule="auto"/>
        <w:ind w:firstLine="424" w:firstLineChars="202"/>
        <w:rPr>
          <w:bCs/>
          <w:color w:val="000000"/>
        </w:rPr>
      </w:pPr>
    </w:p>
    <w:p>
      <w:pPr>
        <w:tabs>
          <w:tab w:val="clear" w:pos="426"/>
        </w:tabs>
        <w:spacing w:line="240" w:lineRule="auto"/>
        <w:ind w:firstLine="426" w:firstLineChars="202"/>
        <w:rPr>
          <w:rFonts w:ascii="Calibri" w:hAnsi="Calibri" w:cs="Times New Roman"/>
          <w:b/>
          <w:kern w:val="2"/>
          <w:szCs w:val="22"/>
        </w:rPr>
      </w:pPr>
    </w:p>
    <w:p>
      <w:pPr>
        <w:tabs>
          <w:tab w:val="clear" w:pos="426"/>
        </w:tabs>
        <w:spacing w:line="240" w:lineRule="auto"/>
        <w:ind w:firstLine="424" w:firstLineChars="202"/>
        <w:rPr>
          <w:bCs/>
          <w:color w:val="000000"/>
        </w:rPr>
      </w:pPr>
    </w:p>
    <w:p>
      <w:pPr>
        <w:pStyle w:val="42"/>
        <w:tabs>
          <w:tab w:val="clear" w:pos="426"/>
        </w:tabs>
      </w:pPr>
      <w:r>
        <w:br w:type="page"/>
      </w:r>
      <w:bookmarkStart w:id="24" w:name="_Toc3628657"/>
      <w:r>
        <w:rPr>
          <w:rFonts w:hint="eastAsia"/>
        </w:rPr>
        <w:t>第一册  专用条款</w:t>
      </w:r>
      <w:bookmarkEnd w:id="23"/>
      <w:bookmarkEnd w:id="24"/>
    </w:p>
    <w:p>
      <w:pPr>
        <w:pStyle w:val="33"/>
        <w:tabs>
          <w:tab w:val="clear" w:pos="426"/>
        </w:tabs>
      </w:pPr>
      <w:bookmarkStart w:id="25" w:name="_Toc265483798"/>
      <w:bookmarkStart w:id="26" w:name="_Toc432592813"/>
      <w:bookmarkStart w:id="27" w:name="_Toc3628658"/>
      <w:r>
        <w:rPr>
          <w:rFonts w:hint="eastAsia"/>
        </w:rPr>
        <w:t>第一章 采购公告</w:t>
      </w:r>
      <w:bookmarkEnd w:id="25"/>
      <w:bookmarkEnd w:id="26"/>
      <w:bookmarkEnd w:id="27"/>
    </w:p>
    <w:p>
      <w:pPr>
        <w:tabs>
          <w:tab w:val="clear" w:pos="426"/>
        </w:tabs>
        <w:rPr>
          <w:b/>
        </w:rPr>
      </w:pPr>
      <w:r>
        <w:rPr>
          <w:rFonts w:hint="eastAsia"/>
          <w:b/>
        </w:rPr>
        <w:t>一、项目概况</w:t>
      </w:r>
    </w:p>
    <w:p>
      <w:pPr>
        <w:tabs>
          <w:tab w:val="clear" w:pos="426"/>
        </w:tabs>
        <w:ind w:firstLine="424" w:firstLineChars="202"/>
        <w:rPr>
          <w:kern w:val="2"/>
        </w:rPr>
      </w:pPr>
      <w:bookmarkStart w:id="28" w:name="项目概况2"/>
      <w:r>
        <w:rPr>
          <w:rFonts w:hint="eastAsia"/>
        </w:rPr>
        <w:t>1.项目编号：SSZX2019-133</w:t>
      </w:r>
    </w:p>
    <w:p>
      <w:pPr>
        <w:tabs>
          <w:tab w:val="clear" w:pos="426"/>
        </w:tabs>
        <w:ind w:firstLine="424" w:firstLineChars="202"/>
      </w:pPr>
      <w:r>
        <w:rPr>
          <w:rFonts w:hint="eastAsia"/>
        </w:rPr>
        <w:t>2.项目名称：同心外国语学校二期电教平台采购</w:t>
      </w:r>
    </w:p>
    <w:p>
      <w:pPr>
        <w:tabs>
          <w:tab w:val="clear" w:pos="426"/>
        </w:tabs>
        <w:ind w:firstLine="424" w:firstLineChars="202"/>
      </w:pPr>
      <w:r>
        <w:rPr>
          <w:rFonts w:hint="eastAsia"/>
        </w:rPr>
        <w:t>3.采购人：深圳市坪山区同心外国语学校</w:t>
      </w:r>
    </w:p>
    <w:p>
      <w:pPr>
        <w:tabs>
          <w:tab w:val="clear" w:pos="426"/>
        </w:tabs>
        <w:ind w:firstLine="424" w:firstLineChars="202"/>
      </w:pPr>
      <w:r>
        <w:rPr>
          <w:rFonts w:hint="eastAsia"/>
        </w:rPr>
        <w:t>4.采购代理机构：深圳市深水水务咨询有限公司</w:t>
      </w:r>
    </w:p>
    <w:p>
      <w:pPr>
        <w:tabs>
          <w:tab w:val="clear" w:pos="426"/>
        </w:tabs>
        <w:ind w:firstLine="424" w:firstLineChars="202"/>
      </w:pPr>
      <w:r>
        <w:rPr>
          <w:rFonts w:hint="eastAsia"/>
        </w:rPr>
        <w:t>5.项目地点：深圳市</w:t>
      </w:r>
    </w:p>
    <w:p>
      <w:pPr>
        <w:tabs>
          <w:tab w:val="clear" w:pos="426"/>
        </w:tabs>
        <w:ind w:firstLine="424" w:firstLineChars="202"/>
      </w:pPr>
      <w:r>
        <w:rPr>
          <w:rFonts w:hint="eastAsia"/>
        </w:rPr>
        <w:t>6.项目规模及特征：详</w:t>
      </w:r>
      <w:r>
        <w:rPr>
          <w:rFonts w:hint="eastAsia"/>
          <w:kern w:val="2"/>
        </w:rPr>
        <w:t>见招标文件及采购需求</w:t>
      </w:r>
      <w:r>
        <w:rPr>
          <w:rFonts w:hint="eastAsia"/>
        </w:rPr>
        <w:t>。</w:t>
      </w:r>
    </w:p>
    <w:p>
      <w:pPr>
        <w:tabs>
          <w:tab w:val="clear" w:pos="426"/>
        </w:tabs>
        <w:ind w:firstLine="424" w:firstLineChars="202"/>
      </w:pPr>
      <w:r>
        <w:rPr>
          <w:rFonts w:hint="eastAsia"/>
        </w:rPr>
        <w:t>7.资金来源：财政资金100%</w:t>
      </w:r>
    </w:p>
    <w:p>
      <w:pPr>
        <w:tabs>
          <w:tab w:val="clear" w:pos="426"/>
        </w:tabs>
        <w:ind w:firstLine="424" w:firstLineChars="202"/>
      </w:pPr>
      <w:r>
        <w:rPr>
          <w:rFonts w:hint="eastAsia"/>
        </w:rPr>
        <w:t>8</w:t>
      </w:r>
      <w:r>
        <w:t>.</w:t>
      </w:r>
      <w:r>
        <w:rPr>
          <w:rFonts w:hint="eastAsia"/>
        </w:rPr>
        <w:t xml:space="preserve"> 采购计划编号：</w:t>
      </w:r>
    </w:p>
    <w:p>
      <w:pPr>
        <w:tabs>
          <w:tab w:val="clear" w:pos="426"/>
        </w:tabs>
        <w:ind w:firstLine="424" w:firstLineChars="202"/>
      </w:pPr>
      <w:r>
        <w:rPr>
          <w:color w:val="000000"/>
        </w:rPr>
        <w:t>9</w:t>
      </w:r>
      <w:r>
        <w:rPr>
          <w:rFonts w:hint="eastAsia"/>
          <w:color w:val="000000"/>
        </w:rPr>
        <w:t>.采购内容</w:t>
      </w:r>
      <w:r>
        <w:rPr>
          <w:rFonts w:hint="eastAsia"/>
        </w:rPr>
        <w:t>：同心外国语学校二期电教平台采购，详</w:t>
      </w:r>
      <w:r>
        <w:rPr>
          <w:rFonts w:hint="eastAsia"/>
          <w:kern w:val="2"/>
        </w:rPr>
        <w:t>见招标文件及采购需求</w:t>
      </w:r>
      <w:r>
        <w:rPr>
          <w:rFonts w:hint="eastAsia"/>
        </w:rPr>
        <w:t>。</w:t>
      </w:r>
    </w:p>
    <w:tbl>
      <w:tblPr>
        <w:tblStyle w:val="44"/>
        <w:tblW w:w="76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587"/>
        <w:gridCol w:w="916"/>
        <w:gridCol w:w="916"/>
        <w:gridCol w:w="916"/>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594"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序号</w:t>
            </w:r>
          </w:p>
        </w:tc>
        <w:tc>
          <w:tcPr>
            <w:tcW w:w="2587"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货物名称</w:t>
            </w:r>
          </w:p>
        </w:tc>
        <w:tc>
          <w:tcPr>
            <w:tcW w:w="916"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数量</w:t>
            </w:r>
          </w:p>
        </w:tc>
        <w:tc>
          <w:tcPr>
            <w:tcW w:w="916"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单位</w:t>
            </w:r>
          </w:p>
        </w:tc>
        <w:tc>
          <w:tcPr>
            <w:tcW w:w="916"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备注</w:t>
            </w:r>
          </w:p>
        </w:tc>
        <w:tc>
          <w:tcPr>
            <w:tcW w:w="1683"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财政预算限额(元)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594" w:type="dxa"/>
            <w:vAlign w:val="center"/>
          </w:tcPr>
          <w:p>
            <w:pPr>
              <w:spacing w:line="240" w:lineRule="auto"/>
              <w:jc w:val="center"/>
              <w:rPr>
                <w:bCs/>
                <w:szCs w:val="21"/>
              </w:rPr>
            </w:pPr>
            <w:r>
              <w:rPr>
                <w:rFonts w:hint="eastAsia"/>
                <w:bCs/>
                <w:szCs w:val="21"/>
              </w:rPr>
              <w:t>1</w:t>
            </w:r>
          </w:p>
        </w:tc>
        <w:tc>
          <w:tcPr>
            <w:tcW w:w="2587" w:type="dxa"/>
            <w:vAlign w:val="center"/>
          </w:tcPr>
          <w:p>
            <w:pPr>
              <w:spacing w:line="240" w:lineRule="auto"/>
              <w:jc w:val="center"/>
              <w:rPr>
                <w:bCs/>
                <w:szCs w:val="21"/>
              </w:rPr>
            </w:pPr>
            <w:r>
              <w:rPr>
                <w:rFonts w:hint="eastAsia"/>
              </w:rPr>
              <w:t>同心外国语学校二期电教平台采购</w:t>
            </w:r>
          </w:p>
        </w:tc>
        <w:tc>
          <w:tcPr>
            <w:tcW w:w="916" w:type="dxa"/>
            <w:vAlign w:val="center"/>
          </w:tcPr>
          <w:p>
            <w:pPr>
              <w:spacing w:line="240" w:lineRule="auto"/>
              <w:jc w:val="center"/>
              <w:rPr>
                <w:bCs/>
                <w:szCs w:val="21"/>
              </w:rPr>
            </w:pPr>
            <w:r>
              <w:rPr>
                <w:rFonts w:hint="eastAsia"/>
                <w:bCs/>
                <w:szCs w:val="21"/>
              </w:rPr>
              <w:t>1</w:t>
            </w:r>
          </w:p>
        </w:tc>
        <w:tc>
          <w:tcPr>
            <w:tcW w:w="916" w:type="dxa"/>
            <w:vAlign w:val="center"/>
          </w:tcPr>
          <w:p>
            <w:pPr>
              <w:spacing w:line="240" w:lineRule="auto"/>
              <w:jc w:val="center"/>
              <w:rPr>
                <w:bCs/>
                <w:szCs w:val="21"/>
              </w:rPr>
            </w:pPr>
            <w:r>
              <w:rPr>
                <w:rFonts w:hint="eastAsia"/>
                <w:szCs w:val="21"/>
              </w:rPr>
              <w:t>批</w:t>
            </w:r>
          </w:p>
        </w:tc>
        <w:tc>
          <w:tcPr>
            <w:tcW w:w="916" w:type="dxa"/>
            <w:vAlign w:val="center"/>
          </w:tcPr>
          <w:p>
            <w:pPr>
              <w:spacing w:line="240" w:lineRule="auto"/>
              <w:jc w:val="center"/>
              <w:rPr>
                <w:szCs w:val="21"/>
              </w:rPr>
            </w:pPr>
            <w:r>
              <w:rPr>
                <w:rFonts w:hint="eastAsia"/>
                <w:szCs w:val="21"/>
              </w:rPr>
              <w:t>拒绝</w:t>
            </w:r>
          </w:p>
          <w:p>
            <w:pPr>
              <w:spacing w:line="240" w:lineRule="auto"/>
              <w:jc w:val="center"/>
              <w:rPr>
                <w:bCs/>
                <w:szCs w:val="21"/>
              </w:rPr>
            </w:pPr>
            <w:r>
              <w:rPr>
                <w:rFonts w:hint="eastAsia"/>
                <w:szCs w:val="21"/>
              </w:rPr>
              <w:t>进口</w:t>
            </w:r>
          </w:p>
        </w:tc>
        <w:tc>
          <w:tcPr>
            <w:tcW w:w="1683" w:type="dxa"/>
            <w:vAlign w:val="center"/>
          </w:tcPr>
          <w:p>
            <w:pPr>
              <w:widowControl w:val="0"/>
              <w:shd w:val="clear" w:color="auto" w:fill="auto"/>
              <w:tabs>
                <w:tab w:val="clear" w:pos="426"/>
              </w:tabs>
              <w:adjustRightInd/>
              <w:snapToGrid/>
              <w:spacing w:line="240" w:lineRule="auto"/>
              <w:jc w:val="center"/>
              <w:rPr>
                <w:rFonts w:cs="Times New Roman"/>
                <w:szCs w:val="21"/>
              </w:rPr>
            </w:pPr>
            <w:r>
              <w:rPr>
                <w:rFonts w:hint="eastAsia" w:cs="Times New Roman"/>
                <w:szCs w:val="21"/>
              </w:rPr>
              <w:t>2,460,000.00</w:t>
            </w:r>
          </w:p>
        </w:tc>
      </w:tr>
    </w:tbl>
    <w:p>
      <w:pPr>
        <w:tabs>
          <w:tab w:val="clear" w:pos="426"/>
        </w:tabs>
        <w:ind w:firstLine="424" w:firstLineChars="202"/>
      </w:pPr>
      <w:r>
        <w:t>10</w:t>
      </w:r>
      <w:r>
        <w:rPr>
          <w:rFonts w:hint="eastAsia"/>
        </w:rPr>
        <w:t>.采购方式：公开招标</w:t>
      </w:r>
    </w:p>
    <w:p>
      <w:pPr>
        <w:tabs>
          <w:tab w:val="clear" w:pos="426"/>
        </w:tabs>
        <w:ind w:firstLine="424" w:firstLineChars="202"/>
      </w:pPr>
      <w:r>
        <w:rPr>
          <w:rFonts w:hint="eastAsia"/>
        </w:rPr>
        <w:t>1</w:t>
      </w:r>
      <w:r>
        <w:t>1.</w:t>
      </w:r>
      <w:r>
        <w:rPr>
          <w:rFonts w:hint="eastAsia"/>
        </w:rPr>
        <w:t>评标方法：综合评分法</w:t>
      </w:r>
    </w:p>
    <w:p>
      <w:pPr>
        <w:tabs>
          <w:tab w:val="clear" w:pos="426"/>
        </w:tabs>
        <w:ind w:firstLine="424" w:firstLineChars="202"/>
      </w:pPr>
      <w:r>
        <w:rPr>
          <w:rFonts w:hint="eastAsia"/>
        </w:rPr>
        <w:t>1</w:t>
      </w:r>
      <w:r>
        <w:t>2</w:t>
      </w:r>
      <w:r>
        <w:rPr>
          <w:rFonts w:hint="eastAsia"/>
        </w:rPr>
        <w:t>.交货期要求：</w:t>
      </w:r>
      <w:bookmarkEnd w:id="28"/>
      <w:r>
        <w:rPr>
          <w:rFonts w:hint="eastAsia"/>
        </w:rPr>
        <w:t>合同签订后</w:t>
      </w:r>
      <w:r>
        <w:rPr>
          <w:rFonts w:hint="eastAsia"/>
          <w:u w:val="single"/>
        </w:rPr>
        <w:t>30</w:t>
      </w:r>
      <w:r>
        <w:t>日历</w:t>
      </w:r>
      <w:r>
        <w:rPr>
          <w:rFonts w:hint="eastAsia"/>
        </w:rPr>
        <w:t>日</w:t>
      </w:r>
      <w:r>
        <w:t>内</w:t>
      </w:r>
    </w:p>
    <w:p>
      <w:pPr>
        <w:shd w:val="clear" w:color="auto" w:fill="FFFFFF"/>
        <w:tabs>
          <w:tab w:val="clear" w:pos="426"/>
        </w:tabs>
        <w:ind w:firstLine="424" w:firstLineChars="202"/>
        <w:rPr>
          <w:rFonts w:hint="eastAsia"/>
          <w:lang w:eastAsia="zh-CN"/>
        </w:rPr>
      </w:pPr>
      <w:r>
        <w:rPr>
          <w:rFonts w:hint="eastAsia"/>
          <w:lang w:val="en-US" w:eastAsia="zh-CN"/>
        </w:rPr>
        <w:t>13.关于</w:t>
      </w:r>
      <w:r>
        <w:rPr>
          <w:rFonts w:hint="eastAsia"/>
          <w:lang w:eastAsia="zh-CN"/>
        </w:rPr>
        <w:t>踏勘：</w:t>
      </w:r>
      <w:r>
        <w:rPr>
          <w:rFonts w:hint="eastAsia"/>
        </w:rPr>
        <w:t>时间：</w:t>
      </w:r>
      <w:r>
        <w:rPr>
          <w:rFonts w:hint="eastAsia"/>
          <w:lang w:val="en-US" w:eastAsia="zh-CN"/>
        </w:rPr>
        <w:t>2019</w:t>
      </w:r>
      <w:r>
        <w:rPr>
          <w:rFonts w:hint="eastAsia"/>
        </w:rPr>
        <w:t>年</w:t>
      </w:r>
      <w:r>
        <w:rPr>
          <w:rFonts w:hint="eastAsia"/>
          <w:lang w:val="en-US" w:eastAsia="zh-CN"/>
        </w:rPr>
        <w:t>6</w:t>
      </w:r>
      <w:r>
        <w:rPr>
          <w:rFonts w:hint="eastAsia"/>
        </w:rPr>
        <w:t>月</w:t>
      </w:r>
      <w:r>
        <w:rPr>
          <w:rFonts w:hint="eastAsia"/>
          <w:lang w:val="en-US" w:eastAsia="zh-CN"/>
        </w:rPr>
        <w:t>17</w:t>
      </w:r>
      <w:r>
        <w:rPr>
          <w:rFonts w:hint="eastAsia"/>
        </w:rPr>
        <w:t>日</w:t>
      </w:r>
      <w:r>
        <w:rPr>
          <w:rFonts w:hint="eastAsia"/>
          <w:lang w:val="en-US" w:eastAsia="zh-CN"/>
        </w:rPr>
        <w:t>15</w:t>
      </w:r>
      <w:r>
        <w:rPr>
          <w:rFonts w:hint="eastAsia"/>
        </w:rPr>
        <w:t xml:space="preserve"> 时</w:t>
      </w:r>
      <w:r>
        <w:rPr>
          <w:rFonts w:hint="eastAsia"/>
          <w:lang w:val="en-US" w:eastAsia="zh-CN"/>
        </w:rPr>
        <w:t>00</w:t>
      </w:r>
      <w:r>
        <w:rPr>
          <w:rFonts w:hint="eastAsia"/>
        </w:rPr>
        <w:t>分</w:t>
      </w:r>
      <w:r>
        <w:rPr>
          <w:rFonts w:hint="eastAsia"/>
          <w:lang w:eastAsia="zh-CN"/>
        </w:rPr>
        <w:t>、</w:t>
      </w:r>
      <w:r>
        <w:rPr>
          <w:rFonts w:hint="eastAsia"/>
        </w:rPr>
        <w:t>地点：深圳市坪山区锦绣中路3号同心外国语学校</w:t>
      </w:r>
    </w:p>
    <w:p>
      <w:pPr>
        <w:tabs>
          <w:tab w:val="clear" w:pos="426"/>
        </w:tabs>
        <w:rPr>
          <w:b/>
        </w:rPr>
      </w:pPr>
      <w:r>
        <w:rPr>
          <w:rFonts w:hint="eastAsia"/>
          <w:b/>
        </w:rPr>
        <w:t>二、投标人资格要求</w:t>
      </w:r>
    </w:p>
    <w:p>
      <w:pPr>
        <w:pStyle w:val="8"/>
        <w:tabs>
          <w:tab w:val="clear" w:pos="426"/>
        </w:tabs>
        <w:ind w:firstLine="424" w:firstLineChars="202"/>
        <w:rPr>
          <w:rFonts w:ascii="宋体" w:hAnsi="宋体"/>
        </w:rPr>
      </w:pPr>
      <w:r>
        <w:rPr>
          <w:rFonts w:hint="eastAsia" w:ascii="宋体" w:hAnsi="宋体"/>
        </w:rPr>
        <w:t>1.具有独立法人资格</w:t>
      </w:r>
      <w:r>
        <w:rPr>
          <w:rFonts w:ascii="宋体" w:hAnsi="宋体"/>
        </w:rPr>
        <w:t>（证明文件：须提供营业执照</w:t>
      </w:r>
      <w:r>
        <w:rPr>
          <w:rFonts w:hint="eastAsia" w:ascii="宋体" w:hAnsi="宋体"/>
        </w:rPr>
        <w:t>或法人证书</w:t>
      </w:r>
      <w:r>
        <w:rPr>
          <w:rFonts w:ascii="宋体" w:hAnsi="宋体"/>
        </w:rPr>
        <w:t>或其他证明文件的</w:t>
      </w:r>
      <w:r>
        <w:rPr>
          <w:rFonts w:hint="eastAsia" w:ascii="宋体" w:hAnsi="宋体"/>
        </w:rPr>
        <w:t>复印件</w:t>
      </w:r>
      <w:r>
        <w:rPr>
          <w:rFonts w:ascii="宋体" w:hAnsi="宋体"/>
        </w:rPr>
        <w:t>并加盖投标人公章，原件中标备查</w:t>
      </w:r>
      <w:r>
        <w:rPr>
          <w:rFonts w:hint="eastAsia" w:ascii="宋体" w:hAnsi="宋体"/>
        </w:rPr>
        <w:t>）；</w:t>
      </w:r>
    </w:p>
    <w:p>
      <w:pPr>
        <w:tabs>
          <w:tab w:val="clear" w:pos="426"/>
        </w:tabs>
        <w:ind w:firstLine="424" w:firstLineChars="202"/>
      </w:pPr>
      <w:r>
        <w:rPr>
          <w:rFonts w:hint="eastAsia"/>
        </w:rPr>
        <w:t>2.本项目不接受联合体投标，中标后不允许转包、分包；</w:t>
      </w:r>
    </w:p>
    <w:p>
      <w:pPr>
        <w:tabs>
          <w:tab w:val="clear" w:pos="426"/>
        </w:tabs>
        <w:ind w:firstLine="424" w:firstLineChars="202"/>
      </w:pPr>
      <w:r>
        <w:rPr>
          <w:rFonts w:hint="eastAsia"/>
        </w:rPr>
        <w:t>3.本项目</w:t>
      </w:r>
      <w:r>
        <w:rPr>
          <w:rFonts w:hint="eastAsia"/>
          <w:b/>
        </w:rPr>
        <w:t>不接受</w:t>
      </w:r>
      <w:r>
        <w:rPr>
          <w:rFonts w:hint="eastAsia"/>
        </w:rPr>
        <w:t>进口产品投标；</w:t>
      </w:r>
    </w:p>
    <w:p>
      <w:pPr>
        <w:tabs>
          <w:tab w:val="clear" w:pos="426"/>
        </w:tabs>
        <w:ind w:firstLine="424" w:firstLineChars="202"/>
      </w:pPr>
      <w:r>
        <w:rPr>
          <w:rFonts w:hint="eastAsia"/>
        </w:rPr>
        <w:t>4</w:t>
      </w:r>
      <w:r>
        <w:t>.</w:t>
      </w:r>
      <w:r>
        <w:rPr>
          <w:rFonts w:hint="eastAsia"/>
        </w:rPr>
        <w:t>参与本项目投标前三年内，在经营活动中没有重大违法记录（由供应商在《政府采购投标及履约承诺函》中作出声明）；</w:t>
      </w:r>
    </w:p>
    <w:p>
      <w:pPr>
        <w:tabs>
          <w:tab w:val="clear" w:pos="426"/>
        </w:tabs>
        <w:ind w:firstLine="424" w:firstLineChars="202"/>
      </w:pPr>
      <w:r>
        <w:rPr>
          <w:rFonts w:hint="eastAsia"/>
        </w:rPr>
        <w:t>5.</w:t>
      </w:r>
      <w:r>
        <w:t>参与本项目政府采购活动时不存在被有关部门禁止参与政府采购活动且在有效期内的情况（由供应商在《政府采购投标及履约承诺函》中作出声明）；</w:t>
      </w:r>
    </w:p>
    <w:p>
      <w:pPr>
        <w:tabs>
          <w:tab w:val="clear" w:pos="426"/>
        </w:tabs>
        <w:ind w:firstLine="424" w:firstLineChars="202"/>
      </w:pPr>
      <w:r>
        <w:rPr>
          <w:rFonts w:hint="eastAsia"/>
        </w:rPr>
        <w:t>6.</w:t>
      </w:r>
      <w:r>
        <w:t>参与本项目的供应商具备《中华人民共和国政府采购法》第二十二条第一款规定的条件（由供应商在《政府采购投标及履约承诺函》中作出声明）</w:t>
      </w:r>
      <w:r>
        <w:rPr>
          <w:rFonts w:hint="eastAsia"/>
        </w:rPr>
        <w:t>；</w:t>
      </w:r>
    </w:p>
    <w:p>
      <w:pPr>
        <w:tabs>
          <w:tab w:val="clear" w:pos="426"/>
        </w:tabs>
        <w:ind w:firstLine="424" w:firstLineChars="202"/>
      </w:pPr>
      <w:r>
        <w:rPr>
          <w:rFonts w:hint="eastAsia"/>
        </w:rPr>
        <w:t>7</w:t>
      </w:r>
      <w:r>
        <w:t>.</w:t>
      </w:r>
      <w:r>
        <w:rPr>
          <w:rFonts w:hint="eastAsia"/>
        </w:rPr>
        <w:t>参与政府采购项目投标的供应商未被列入失信被执行人、重大税收违法案件当事人名单、政府采购严重违法失信行为记录名单（由供应商在《政府采购投标及履约承诺函》中作出声明）；</w:t>
      </w:r>
    </w:p>
    <w:p>
      <w:pPr>
        <w:tabs>
          <w:tab w:val="clear" w:pos="426"/>
        </w:tabs>
        <w:ind w:firstLine="424" w:firstLineChars="202"/>
        <w:rPr>
          <w:highlight w:val="none"/>
        </w:rPr>
      </w:pPr>
      <w:r>
        <w:rPr>
          <w:rFonts w:hint="eastAsia"/>
        </w:rPr>
        <w:t>8</w:t>
      </w:r>
      <w:r>
        <w:t>.</w:t>
      </w:r>
      <w:r>
        <w:rPr>
          <w:rFonts w:hint="eastAsia"/>
        </w:rPr>
        <w:t>投标人必须具有深圳市政府采购注册供应商资格（供应商注册网址http://www.szzfcg.cn，投标文件中无需提供证明材料。采购代理机构将在开标当天从供应商资料库里查询本项目所有投标人的注册状态，投标人注册状态不是“有效”的，将按资格不</w:t>
      </w:r>
      <w:r>
        <w:rPr>
          <w:rFonts w:hint="eastAsia"/>
          <w:highlight w:val="none"/>
        </w:rPr>
        <w:t>符合招标文件要求，作资格审查不通过处理）；</w:t>
      </w:r>
    </w:p>
    <w:p>
      <w:pPr>
        <w:tabs>
          <w:tab w:val="clear" w:pos="426"/>
        </w:tabs>
        <w:ind w:firstLine="426" w:firstLineChars="202"/>
        <w:rPr>
          <w:rFonts w:ascii="Calibri" w:hAnsi="Calibri" w:cs="Times New Roman"/>
          <w:b/>
          <w:kern w:val="2"/>
          <w:szCs w:val="22"/>
          <w:highlight w:val="none"/>
        </w:rPr>
      </w:pP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三、获取招标文件的时间、地点、方式及招标文件售价</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.获取招标文件时间：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日起至</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14</w:t>
      </w:r>
      <w:r>
        <w:rPr>
          <w:rFonts w:hint="eastAsia"/>
          <w:color w:val="000000" w:themeColor="text1"/>
          <w:highlight w:val="none"/>
          <w14:textFill>
            <w14:solidFill>
              <w14:schemeClr w14:val="tx1"/>
            </w14:solidFill>
          </w14:textFill>
        </w:rPr>
        <w:t>日（节假日除外），上午</w:t>
      </w:r>
      <w:r>
        <w:rPr>
          <w:rFonts w:hint="eastAsia"/>
          <w:color w:val="000000" w:themeColor="text1"/>
          <w:highlight w:val="none"/>
          <w:u w:val="single"/>
          <w14:textFill>
            <w14:solidFill>
              <w14:schemeClr w14:val="tx1"/>
            </w14:solidFill>
          </w14:textFill>
        </w:rPr>
        <w:t xml:space="preserve"> 09:00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 xml:space="preserve">11:30  </w:t>
      </w:r>
      <w:r>
        <w:rPr>
          <w:rFonts w:hint="eastAsia"/>
          <w:color w:val="000000" w:themeColor="text1"/>
          <w:highlight w:val="none"/>
          <w14:textFill>
            <w14:solidFill>
              <w14:schemeClr w14:val="tx1"/>
            </w14:solidFill>
          </w14:textFill>
        </w:rPr>
        <w:t>，下午</w:t>
      </w:r>
      <w:r>
        <w:rPr>
          <w:rFonts w:hint="eastAsia"/>
          <w:color w:val="000000" w:themeColor="text1"/>
          <w:highlight w:val="none"/>
          <w:u w:val="single"/>
          <w14:textFill>
            <w14:solidFill>
              <w14:schemeClr w14:val="tx1"/>
            </w14:solidFill>
          </w14:textFill>
        </w:rPr>
        <w:t>14:00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17:30（</w:t>
      </w:r>
      <w:r>
        <w:rPr>
          <w:rFonts w:hint="eastAsia"/>
          <w:color w:val="000000" w:themeColor="text1"/>
          <w:highlight w:val="none"/>
          <w14:textFill>
            <w14:solidFill>
              <w14:schemeClr w14:val="tx1"/>
            </w14:solidFill>
          </w14:textFill>
        </w:rPr>
        <w:t>北京时间）。</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.获取招标文件地点：深圳市罗湖区布吉路1028号中设广场B座307。</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.获取招标文件方式：现场购买或邮购。</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.招标文件售价：每套人民币5</w:t>
      </w:r>
      <w:r>
        <w:rPr>
          <w:color w:val="000000" w:themeColor="text1"/>
          <w:highlight w:val="none"/>
          <w14:textFill>
            <w14:solidFill>
              <w14:schemeClr w14:val="tx1"/>
            </w14:solidFill>
          </w14:textFill>
        </w:rPr>
        <w:t>00</w:t>
      </w:r>
      <w:r>
        <w:rPr>
          <w:rFonts w:hint="eastAsia"/>
          <w:color w:val="000000" w:themeColor="text1"/>
          <w:highlight w:val="none"/>
          <w14:textFill>
            <w14:solidFill>
              <w14:schemeClr w14:val="tx1"/>
            </w14:solidFill>
          </w14:textFill>
        </w:rPr>
        <w:t>元</w:t>
      </w:r>
      <w:r>
        <w:rPr>
          <w:rFonts w:hint="eastAsia"/>
          <w:b/>
          <w:color w:val="000000" w:themeColor="text1"/>
          <w:highlight w:val="none"/>
          <w14:textFill>
            <w14:solidFill>
              <w14:schemeClr w14:val="tx1"/>
            </w14:solidFill>
          </w14:textFill>
        </w:rPr>
        <w:t>（现金）</w:t>
      </w:r>
      <w:r>
        <w:rPr>
          <w:rFonts w:hint="eastAsia"/>
          <w:color w:val="000000" w:themeColor="text1"/>
          <w:highlight w:val="none"/>
          <w14:textFill>
            <w14:solidFill>
              <w14:schemeClr w14:val="tx1"/>
            </w14:solidFill>
          </w14:textFill>
        </w:rPr>
        <w:t>；若邮购，每份加收人民币</w:t>
      </w:r>
      <w:r>
        <w:rPr>
          <w:color w:val="000000" w:themeColor="text1"/>
          <w:highlight w:val="none"/>
          <w14:textFill>
            <w14:solidFill>
              <w14:schemeClr w14:val="tx1"/>
            </w14:solidFill>
          </w14:textFill>
        </w:rPr>
        <w:t>50元</w:t>
      </w:r>
      <w:r>
        <w:rPr>
          <w:rFonts w:hint="eastAsia"/>
          <w:color w:val="000000" w:themeColor="text1"/>
          <w:highlight w:val="none"/>
          <w14:textFill>
            <w14:solidFill>
              <w14:schemeClr w14:val="tx1"/>
            </w14:solidFill>
          </w14:textFill>
        </w:rPr>
        <w:t>。招标文件售后不退。</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5.现场报名时提交以下资料：</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（1）投标人的营业执照复印件；</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（2）法人代表证明书原件、授权委托书原件、被授权委托人身份证复印件、被授权委托人联系方式</w:t>
      </w:r>
      <w:r>
        <w:rPr>
          <w:rFonts w:hint="eastAsia"/>
          <w:b/>
          <w:color w:val="000000" w:themeColor="text1"/>
          <w:highlight w:val="none"/>
          <w14:textFill>
            <w14:solidFill>
              <w14:schemeClr w14:val="tx1"/>
            </w14:solidFill>
          </w14:textFill>
        </w:rPr>
        <w:t>（电话、邮箱）</w:t>
      </w:r>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3）投标人的增值税发票开票（信息）资料；</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以上资料均需加盖公章。</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如需邮购，请于办理汇款手续后，快递上述报名资料、汇款凭证至采购代理机构。</w:t>
      </w:r>
    </w:p>
    <w:p>
      <w:pPr>
        <w:widowControl w:val="0"/>
        <w:shd w:val="clear" w:color="auto" w:fill="auto"/>
        <w:tabs>
          <w:tab w:val="clear" w:pos="426"/>
        </w:tabs>
        <w:adjustRightInd/>
        <w:snapToGrid/>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四、投标截止时间、开标时间及地点</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.递交投标文件时间：</w:t>
      </w:r>
      <w:r>
        <w:rPr>
          <w:rFonts w:hint="eastAsia"/>
          <w:color w:val="000000" w:themeColor="text1"/>
          <w:highlight w:val="none"/>
          <w:u w:val="single"/>
          <w14:textFill>
            <w14:solidFill>
              <w14:schemeClr w14:val="tx1"/>
            </w14:solidFill>
          </w14:textFill>
        </w:rPr>
        <w:t xml:space="preserve"> 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21</w:t>
      </w:r>
      <w:r>
        <w:rPr>
          <w:rFonts w:hint="eastAsia"/>
          <w:color w:val="000000" w:themeColor="text1"/>
          <w:highlight w:val="none"/>
          <w14:textFill>
            <w14:solidFill>
              <w14:schemeClr w14:val="tx1"/>
            </w14:solidFill>
          </w14:textFill>
        </w:rPr>
        <w:t xml:space="preserve">日 </w:t>
      </w:r>
      <w:r>
        <w:rPr>
          <w:rFonts w:hint="eastAsia"/>
          <w:color w:val="000000" w:themeColor="text1"/>
          <w:highlight w:val="none"/>
          <w:u w:val="single"/>
          <w14:textFill>
            <w14:solidFill>
              <w14:schemeClr w14:val="tx1"/>
            </w14:solidFill>
          </w14:textFill>
        </w:rPr>
        <w:t xml:space="preserve"> 09:00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09:30</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.投标截止及开标时间：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21</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日 </w:t>
      </w:r>
      <w:r>
        <w:rPr>
          <w:rFonts w:hint="eastAsia"/>
          <w:color w:val="000000" w:themeColor="text1"/>
          <w:highlight w:val="none"/>
          <w:u w:val="single"/>
          <w14:textFill>
            <w14:solidFill>
              <w14:schemeClr w14:val="tx1"/>
            </w14:solidFill>
          </w14:textFill>
        </w:rPr>
        <w:t>09</w:t>
      </w:r>
      <w:r>
        <w:rPr>
          <w:rFonts w:hint="eastAsia"/>
          <w:color w:val="000000" w:themeColor="text1"/>
          <w:highlight w:val="none"/>
          <w14:textFill>
            <w14:solidFill>
              <w14:schemeClr w14:val="tx1"/>
            </w14:solidFill>
          </w14:textFill>
        </w:rPr>
        <w:t>时</w:t>
      </w:r>
      <w:r>
        <w:rPr>
          <w:rFonts w:hint="eastAsia"/>
          <w:color w:val="000000" w:themeColor="text1"/>
          <w:highlight w:val="none"/>
          <w:u w:val="single"/>
          <w14:textFill>
            <w14:solidFill>
              <w14:schemeClr w14:val="tx1"/>
            </w14:solidFill>
          </w14:textFill>
        </w:rPr>
        <w:t xml:space="preserve"> 30 </w:t>
      </w:r>
      <w:r>
        <w:rPr>
          <w:rFonts w:hint="eastAsia"/>
          <w:color w:val="000000" w:themeColor="text1"/>
          <w:highlight w:val="none"/>
          <w14:textFill>
            <w14:solidFill>
              <w14:schemeClr w14:val="tx1"/>
            </w14:solidFill>
          </w14:textFill>
        </w:rPr>
        <w:t>分</w:t>
      </w:r>
    </w:p>
    <w:p>
      <w:pPr>
        <w:tabs>
          <w:tab w:val="clear" w:pos="426"/>
        </w:tabs>
        <w:ind w:firstLine="424" w:firstLineChars="202"/>
        <w:rPr>
          <w:highlight w:val="none"/>
        </w:rPr>
      </w:pPr>
      <w:r>
        <w:rPr>
          <w:highlight w:val="none"/>
        </w:rPr>
        <w:t>3</w:t>
      </w:r>
      <w:r>
        <w:rPr>
          <w:rFonts w:hint="eastAsia"/>
          <w:highlight w:val="none"/>
        </w:rPr>
        <w:t>.开标地点：深圳市罗湖区布吉路1028号中设广场B座307开标室。</w:t>
      </w: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五、答疑事项</w:t>
      </w:r>
    </w:p>
    <w:p>
      <w:pPr>
        <w:tabs>
          <w:tab w:val="clear" w:pos="426"/>
        </w:tabs>
        <w:ind w:firstLine="424" w:firstLineChars="202"/>
        <w:rPr>
          <w:szCs w:val="21"/>
          <w:highlight w:val="none"/>
        </w:rPr>
      </w:pPr>
      <w:r>
        <w:rPr>
          <w:szCs w:val="21"/>
          <w:highlight w:val="none"/>
        </w:rPr>
        <w:t>1.本项目实行网下纸质答疑，凡对招标文件有任何疑问的（包括认为招标文件的技术指标或参数存在排他性或歧视性条款），请投标人于</w:t>
      </w:r>
      <w:r>
        <w:rPr>
          <w:rFonts w:hint="eastAsia"/>
          <w:color w:val="FF0000"/>
          <w:highlight w:val="none"/>
          <w:u w:val="single"/>
        </w:rPr>
        <w:t>2019</w:t>
      </w:r>
      <w:r>
        <w:rPr>
          <w:szCs w:val="21"/>
          <w:highlight w:val="none"/>
        </w:rPr>
        <w:t>年</w:t>
      </w:r>
      <w:r>
        <w:rPr>
          <w:rFonts w:hint="eastAsia"/>
          <w:szCs w:val="21"/>
          <w:highlight w:val="none"/>
          <w:u w:val="single"/>
        </w:rPr>
        <w:t xml:space="preserve"> </w:t>
      </w:r>
      <w:r>
        <w:rPr>
          <w:rFonts w:hint="eastAsia"/>
          <w:szCs w:val="21"/>
          <w:highlight w:val="none"/>
          <w:u w:val="single"/>
          <w:lang w:val="en-US" w:eastAsia="zh-CN"/>
        </w:rPr>
        <w:t>6</w:t>
      </w:r>
      <w:r>
        <w:rPr>
          <w:rFonts w:hint="eastAsia"/>
          <w:szCs w:val="21"/>
          <w:highlight w:val="none"/>
          <w:u w:val="single"/>
        </w:rPr>
        <w:t xml:space="preserve"> </w:t>
      </w:r>
      <w:r>
        <w:rPr>
          <w:szCs w:val="21"/>
          <w:highlight w:val="none"/>
        </w:rPr>
        <w:t>月</w:t>
      </w:r>
      <w:r>
        <w:rPr>
          <w:rFonts w:hint="eastAsia"/>
          <w:szCs w:val="21"/>
          <w:highlight w:val="none"/>
          <w:u w:val="single"/>
        </w:rPr>
        <w:t xml:space="preserve"> </w:t>
      </w:r>
      <w:r>
        <w:rPr>
          <w:rFonts w:hint="eastAsia"/>
          <w:szCs w:val="21"/>
          <w:highlight w:val="none"/>
          <w:u w:val="single"/>
          <w:lang w:val="en-US" w:eastAsia="zh-CN"/>
        </w:rPr>
        <w:t>18</w:t>
      </w:r>
      <w:r>
        <w:rPr>
          <w:rFonts w:hint="eastAsia"/>
          <w:szCs w:val="21"/>
          <w:highlight w:val="none"/>
          <w:u w:val="single"/>
        </w:rPr>
        <w:t xml:space="preserve"> </w:t>
      </w:r>
      <w:r>
        <w:rPr>
          <w:szCs w:val="21"/>
          <w:highlight w:val="none"/>
        </w:rPr>
        <w:t>日 17:30前，根据《深圳经济特区政府采购条例》第六章、《深圳市经济特区政府采购条例实施细则》第六章及深圳市政府采购中心网页http://www.cgzx.sz.gov.cn/zxfw/</w:t>
      </w:r>
      <w:r>
        <w:rPr>
          <w:rFonts w:hint="eastAsia"/>
          <w:szCs w:val="21"/>
          <w:highlight w:val="none"/>
        </w:rPr>
        <w:t>mx</w:t>
      </w:r>
      <w:r>
        <w:rPr>
          <w:szCs w:val="21"/>
          <w:highlight w:val="none"/>
        </w:rPr>
        <w:t>gys/zyzn/所发布的有关质疑的指引及要求填写质疑函件，并将质疑函件以及相关质疑内容的证明材料原件送达深圳市深水水务咨询有限公司，逾期不受理。</w:t>
      </w:r>
    </w:p>
    <w:p>
      <w:pPr>
        <w:tabs>
          <w:tab w:val="clear" w:pos="426"/>
        </w:tabs>
        <w:ind w:firstLine="424" w:firstLineChars="202"/>
        <w:rPr>
          <w:highlight w:val="none"/>
        </w:rPr>
      </w:pPr>
      <w:r>
        <w:rPr>
          <w:szCs w:val="21"/>
          <w:highlight w:val="none"/>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pPr>
        <w:tabs>
          <w:tab w:val="clear" w:pos="426"/>
        </w:tabs>
        <w:rPr>
          <w:b/>
          <w:highlight w:val="none"/>
        </w:rPr>
      </w:pPr>
      <w:r>
        <w:rPr>
          <w:rFonts w:hint="eastAsia"/>
          <w:b/>
          <w:highlight w:val="none"/>
        </w:rPr>
        <w:t>六、相关信息</w:t>
      </w:r>
    </w:p>
    <w:tbl>
      <w:tblPr>
        <w:tblStyle w:val="44"/>
        <w:tblW w:w="7964"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514"/>
        <w:gridCol w:w="645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7964" w:type="dxa"/>
            <w:gridSpan w:val="2"/>
            <w:tcBorders>
              <w:top w:val="double" w:color="auto" w:sz="4" w:space="0"/>
              <w:left w:val="double" w:color="auto" w:sz="4" w:space="0"/>
              <w:bottom w:val="single" w:color="auto" w:sz="8" w:space="0"/>
              <w:right w:val="double" w:color="auto" w:sz="4" w:space="0"/>
            </w:tcBorders>
            <w:tcMar>
              <w:left w:w="108" w:type="dxa"/>
              <w:right w:w="108" w:type="dxa"/>
            </w:tcMar>
            <w:vAlign w:val="center"/>
          </w:tcPr>
          <w:p>
            <w:pPr>
              <w:pStyle w:val="40"/>
              <w:jc w:val="center"/>
              <w:rPr>
                <w:highlight w:val="none"/>
              </w:rPr>
            </w:pPr>
            <w:r>
              <w:rPr>
                <w:rStyle w:val="48"/>
                <w:rFonts w:hint="eastAsia"/>
                <w:color w:val="000000"/>
                <w:sz w:val="20"/>
                <w:szCs w:val="20"/>
                <w:highlight w:val="none"/>
              </w:rPr>
              <w:t>联系表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交易实施机构</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深圳市深圳市深水水务咨询有限公司</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单位地址</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深圳市罗湖区布吉路1028号中设广场B座307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联系电话</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0755-25160452 ，13925205100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邮箱</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244868795@qq.com</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邮政编码</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518118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相关网址</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 xml:space="preserve">深圳市政府采购网  </w:t>
            </w:r>
            <w:r>
              <w:rPr>
                <w:highlight w:val="none"/>
              </w:rPr>
              <w:fldChar w:fldCharType="begin"/>
            </w:r>
            <w:r>
              <w:rPr>
                <w:highlight w:val="none"/>
              </w:rPr>
              <w:instrText xml:space="preserve"> HYPERLINK "http://www.szzfcg.cn" </w:instrText>
            </w:r>
            <w:r>
              <w:rPr>
                <w:highlight w:val="none"/>
              </w:rPr>
              <w:fldChar w:fldCharType="separate"/>
            </w:r>
            <w:r>
              <w:rPr>
                <w:rFonts w:hint="eastAsia"/>
                <w:color w:val="000000"/>
                <w:highlight w:val="none"/>
              </w:rPr>
              <w:t>http://www.szzfcg.cn</w:t>
            </w:r>
            <w:r>
              <w:rPr>
                <w:rFonts w:hint="eastAsia"/>
                <w:color w:val="000000"/>
                <w:highlight w:val="none"/>
              </w:rPr>
              <w:fldChar w:fldCharType="end"/>
            </w:r>
          </w:p>
          <w:p>
            <w:pPr>
              <w:jc w:val="left"/>
              <w:rPr>
                <w:color w:val="000000"/>
                <w:highlight w:val="none"/>
              </w:rPr>
            </w:pPr>
            <w:r>
              <w:rPr>
                <w:rFonts w:hint="eastAsia"/>
                <w:color w:val="000000"/>
                <w:highlight w:val="none"/>
              </w:rPr>
              <w:t>深圳市坪山区公共资源交易中心：http://ps.szzfcg.cn</w:t>
            </w:r>
          </w:p>
          <w:p>
            <w:pPr>
              <w:jc w:val="left"/>
              <w:rPr>
                <w:color w:val="000000"/>
                <w:highlight w:val="none"/>
              </w:rPr>
            </w:pPr>
            <w:r>
              <w:rPr>
                <w:rFonts w:hint="eastAsia"/>
                <w:color w:val="000000"/>
                <w:highlight w:val="none"/>
              </w:rPr>
              <w:t xml:space="preserve">深圳市深水水务咨询有限公司  </w:t>
            </w:r>
            <w:r>
              <w:rPr>
                <w:highlight w:val="none"/>
              </w:rPr>
              <w:fldChar w:fldCharType="begin"/>
            </w:r>
            <w:r>
              <w:rPr>
                <w:highlight w:val="none"/>
              </w:rPr>
              <w:instrText xml:space="preserve"> HYPERLINK "http://www.szsszx.com" </w:instrText>
            </w:r>
            <w:r>
              <w:rPr>
                <w:highlight w:val="none"/>
              </w:rPr>
              <w:fldChar w:fldCharType="separate"/>
            </w:r>
            <w:r>
              <w:rPr>
                <w:rFonts w:hint="eastAsia"/>
                <w:color w:val="000000"/>
                <w:highlight w:val="none"/>
              </w:rPr>
              <w:t>http://www.szsszx.com</w:t>
            </w:r>
            <w:r>
              <w:rPr>
                <w:rFonts w:hint="eastAsia"/>
                <w:color w:val="000000"/>
                <w:highlight w:val="none"/>
              </w:rPr>
              <w:fldChar w:fldCharType="end"/>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采购单位</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深圳市坪山区同心外国语学校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联系人</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李老师，18028477060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7964" w:type="dxa"/>
            <w:gridSpan w:val="2"/>
            <w:tcBorders>
              <w:top w:val="nil"/>
              <w:left w:val="double" w:color="auto" w:sz="4" w:space="0"/>
              <w:bottom w:val="single" w:color="auto" w:sz="8" w:space="0"/>
              <w:right w:val="double" w:color="auto" w:sz="4" w:space="0"/>
            </w:tcBorders>
            <w:tcMar>
              <w:left w:w="108" w:type="dxa"/>
              <w:right w:w="108" w:type="dxa"/>
            </w:tcMar>
            <w:vAlign w:val="center"/>
          </w:tcPr>
          <w:p>
            <w:pPr>
              <w:pStyle w:val="40"/>
              <w:jc w:val="center"/>
              <w:rPr>
                <w:highlight w:val="none"/>
              </w:rPr>
            </w:pPr>
            <w:r>
              <w:rPr>
                <w:rStyle w:val="48"/>
                <w:rFonts w:hint="eastAsia"/>
                <w:color w:val="000000"/>
                <w:sz w:val="20"/>
                <w:szCs w:val="20"/>
                <w:highlight w:val="none"/>
              </w:rPr>
              <w:t>网上操作相关咨询</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详细地址</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深圳市景田东路9号财政大厦附楼</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邮政编码</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518034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注册咨询</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0755-83938966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网上操作咨询</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0755-83948100、83948149、83948544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trPr>
        <w:tc>
          <w:tcPr>
            <w:tcW w:w="1514" w:type="dxa"/>
            <w:vMerge w:val="restart"/>
            <w:tcBorders>
              <w:top w:val="nil"/>
              <w:left w:val="double" w:color="auto" w:sz="4" w:space="0"/>
              <w:bottom w:val="double" w:color="auto" w:sz="4" w:space="0"/>
              <w:right w:val="single" w:color="auto" w:sz="8" w:space="0"/>
            </w:tcBorders>
            <w:tcMar>
              <w:left w:w="108" w:type="dxa"/>
              <w:right w:w="108" w:type="dxa"/>
            </w:tcMar>
            <w:vAlign w:val="center"/>
          </w:tcPr>
          <w:p>
            <w:pPr>
              <w:rPr>
                <w:color w:val="000000"/>
                <w:highlight w:val="none"/>
              </w:rPr>
            </w:pPr>
            <w:r>
              <w:rPr>
                <w:rFonts w:hint="eastAsia"/>
                <w:color w:val="000000"/>
                <w:highlight w:val="none"/>
              </w:rPr>
              <w:t>电子密钥咨询</w:t>
            </w: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highlight w:val="none"/>
              </w:rPr>
              <w:fldChar w:fldCharType="begin"/>
            </w:r>
            <w:r>
              <w:rPr>
                <w:highlight w:val="none"/>
              </w:rPr>
              <w:instrText xml:space="preserve"> HYPERLINK "http://www.cnca.net/cn/html/2013-10-30/44_362.html" </w:instrText>
            </w:r>
            <w:r>
              <w:rPr>
                <w:highlight w:val="none"/>
              </w:rPr>
              <w:fldChar w:fldCharType="separate"/>
            </w:r>
            <w:r>
              <w:rPr>
                <w:rFonts w:hint="eastAsia"/>
                <w:color w:val="000000"/>
                <w:highlight w:val="none"/>
              </w:rPr>
              <w:t>广东省电子商务认证有限公司（NETCA)</w:t>
            </w:r>
            <w:r>
              <w:rPr>
                <w:rFonts w:hint="eastAsia"/>
                <w:color w:val="000000"/>
                <w:highlight w:val="none"/>
              </w:rPr>
              <w:fldChar w:fldCharType="end"/>
            </w:r>
          </w:p>
          <w:p>
            <w:pPr>
              <w:jc w:val="left"/>
              <w:rPr>
                <w:color w:val="000000"/>
                <w:highlight w:val="none"/>
              </w:rPr>
            </w:pPr>
            <w:r>
              <w:rPr>
                <w:rFonts w:hint="eastAsia"/>
                <w:color w:val="000000"/>
                <w:highlight w:val="none"/>
              </w:rPr>
              <w:t>4008301330   0755-83948165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trPr>
        <w:tc>
          <w:tcPr>
            <w:tcW w:w="1514" w:type="dxa"/>
            <w:vMerge w:val="continue"/>
            <w:tcBorders>
              <w:top w:val="nil"/>
              <w:left w:val="double" w:color="auto" w:sz="4" w:space="0"/>
              <w:bottom w:val="double" w:color="auto" w:sz="4" w:space="0"/>
              <w:right w:val="single" w:color="auto" w:sz="8" w:space="0"/>
            </w:tcBorders>
            <w:tcMar>
              <w:left w:w="108" w:type="dxa"/>
              <w:right w:w="108" w:type="dxa"/>
            </w:tcMar>
            <w:vAlign w:val="center"/>
          </w:tcPr>
          <w:p>
            <w:pPr>
              <w:ind w:firstLine="424" w:firstLineChars="202"/>
              <w:rPr>
                <w:color w:val="000000"/>
                <w:highlight w:val="none"/>
              </w:rPr>
            </w:pPr>
          </w:p>
        </w:tc>
        <w:tc>
          <w:tcPr>
            <w:tcW w:w="6450" w:type="dxa"/>
            <w:tcBorders>
              <w:top w:val="nil"/>
              <w:left w:val="nil"/>
              <w:bottom w:val="single" w:color="auto" w:sz="8" w:space="0"/>
              <w:right w:val="double" w:color="auto" w:sz="4" w:space="0"/>
            </w:tcBorders>
            <w:tcMar>
              <w:left w:w="108" w:type="dxa"/>
              <w:right w:w="108" w:type="dxa"/>
            </w:tcMar>
            <w:vAlign w:val="center"/>
          </w:tcPr>
          <w:p>
            <w:pPr>
              <w:jc w:val="left"/>
              <w:rPr>
                <w:color w:val="000000"/>
                <w:highlight w:val="none"/>
              </w:rPr>
            </w:pPr>
            <w:r>
              <w:rPr>
                <w:highlight w:val="none"/>
              </w:rPr>
              <w:fldChar w:fldCharType="begin"/>
            </w:r>
            <w:r>
              <w:rPr>
                <w:highlight w:val="none"/>
              </w:rPr>
              <w:instrText xml:space="preserve"> HYPERLINK "http://www.gdca.com.cn/info/197150" </w:instrText>
            </w:r>
            <w:r>
              <w:rPr>
                <w:highlight w:val="none"/>
              </w:rPr>
              <w:fldChar w:fldCharType="separate"/>
            </w:r>
            <w:r>
              <w:rPr>
                <w:rFonts w:hint="eastAsia"/>
                <w:color w:val="000000"/>
                <w:highlight w:val="none"/>
              </w:rPr>
              <w:t>广东数字证书认证中心有限</w:t>
            </w:r>
            <w:bookmarkStart w:id="365" w:name="_GoBack"/>
            <w:bookmarkEnd w:id="365"/>
            <w:r>
              <w:rPr>
                <w:rFonts w:hint="eastAsia"/>
                <w:color w:val="000000"/>
                <w:highlight w:val="none"/>
              </w:rPr>
              <w:t>公司(GDCA)</w:t>
            </w:r>
            <w:r>
              <w:rPr>
                <w:rFonts w:hint="eastAsia"/>
                <w:color w:val="000000"/>
                <w:highlight w:val="none"/>
              </w:rPr>
              <w:fldChar w:fldCharType="end"/>
            </w:r>
          </w:p>
          <w:p>
            <w:pPr>
              <w:jc w:val="left"/>
              <w:rPr>
                <w:color w:val="000000"/>
                <w:highlight w:val="none"/>
              </w:rPr>
            </w:pPr>
            <w:r>
              <w:rPr>
                <w:rFonts w:hint="eastAsia"/>
                <w:color w:val="000000"/>
                <w:highlight w:val="none"/>
              </w:rPr>
              <w:t>0755-95105813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23" w:hRule="atLeast"/>
        </w:trPr>
        <w:tc>
          <w:tcPr>
            <w:tcW w:w="1514" w:type="dxa"/>
            <w:vMerge w:val="continue"/>
            <w:tcBorders>
              <w:top w:val="nil"/>
              <w:left w:val="double" w:color="auto" w:sz="4" w:space="0"/>
              <w:bottom w:val="double" w:color="auto" w:sz="4" w:space="0"/>
              <w:right w:val="single" w:color="auto" w:sz="8" w:space="0"/>
            </w:tcBorders>
            <w:tcMar>
              <w:left w:w="108" w:type="dxa"/>
              <w:right w:w="108" w:type="dxa"/>
            </w:tcMar>
            <w:vAlign w:val="center"/>
          </w:tcPr>
          <w:p>
            <w:pPr>
              <w:rPr>
                <w:sz w:val="20"/>
                <w:szCs w:val="20"/>
                <w:highlight w:val="none"/>
              </w:rPr>
            </w:pPr>
          </w:p>
        </w:tc>
        <w:tc>
          <w:tcPr>
            <w:tcW w:w="6450" w:type="dxa"/>
            <w:tcBorders>
              <w:top w:val="nil"/>
              <w:left w:val="nil"/>
              <w:bottom w:val="double" w:color="auto" w:sz="4" w:space="0"/>
              <w:right w:val="double" w:color="auto" w:sz="4" w:space="0"/>
            </w:tcBorders>
            <w:tcMar>
              <w:left w:w="108" w:type="dxa"/>
              <w:right w:w="108" w:type="dxa"/>
            </w:tcMar>
            <w:vAlign w:val="center"/>
          </w:tcPr>
          <w:p>
            <w:pPr>
              <w:jc w:val="left"/>
              <w:rPr>
                <w:color w:val="000000"/>
                <w:highlight w:val="none"/>
              </w:rPr>
            </w:pPr>
            <w:r>
              <w:rPr>
                <w:rFonts w:hint="eastAsia"/>
                <w:color w:val="000000"/>
                <w:highlight w:val="none"/>
              </w:rPr>
              <w:t>深圳市电子商务安全证书管理有限公司(SZCA)</w:t>
            </w:r>
          </w:p>
          <w:p>
            <w:pPr>
              <w:jc w:val="left"/>
              <w:rPr>
                <w:highlight w:val="none"/>
              </w:rPr>
            </w:pPr>
            <w:r>
              <w:rPr>
                <w:rFonts w:hint="eastAsia"/>
                <w:color w:val="000000"/>
                <w:highlight w:val="none"/>
              </w:rPr>
              <w:t>4001123838    0755-26588388</w:t>
            </w:r>
          </w:p>
        </w:tc>
      </w:tr>
    </w:tbl>
    <w:p>
      <w:pPr>
        <w:pStyle w:val="2"/>
        <w:rPr>
          <w:highlight w:val="none"/>
        </w:rPr>
      </w:pP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七、采购文件</w:t>
      </w:r>
    </w:p>
    <w:p>
      <w:pPr>
        <w:tabs>
          <w:tab w:val="clear" w:pos="426"/>
        </w:tabs>
        <w:ind w:firstLine="363" w:firstLineChars="202"/>
        <w:rPr>
          <w:rStyle w:val="52"/>
          <w:rFonts w:hint="default"/>
          <w:highlight w:val="none"/>
        </w:rPr>
      </w:pPr>
      <w:r>
        <w:rPr>
          <w:rStyle w:val="52"/>
          <w:highlight w:val="none"/>
        </w:rPr>
        <w:t>-点此下载-</w:t>
      </w:r>
    </w:p>
    <w:p>
      <w:pPr>
        <w:tabs>
          <w:tab w:val="clear" w:pos="426"/>
        </w:tabs>
        <w:ind w:firstLine="424" w:firstLineChars="202"/>
        <w:rPr>
          <w:highlight w:val="none"/>
        </w:rPr>
      </w:pPr>
    </w:p>
    <w:p>
      <w:pPr>
        <w:tabs>
          <w:tab w:val="clear" w:pos="426"/>
        </w:tabs>
        <w:ind w:firstLine="424" w:firstLineChars="202"/>
        <w:rPr>
          <w:strike/>
          <w:highlight w:val="none"/>
        </w:rPr>
      </w:pPr>
    </w:p>
    <w:p>
      <w:pPr>
        <w:pStyle w:val="33"/>
        <w:tabs>
          <w:tab w:val="clear" w:pos="426"/>
        </w:tabs>
        <w:rPr>
          <w:highlight w:val="none"/>
        </w:rPr>
        <w:sectPr>
          <w:headerReference r:id="rId5" w:type="first"/>
          <w:footerReference r:id="rId7" w:type="first"/>
          <w:headerReference r:id="rId4" w:type="default"/>
          <w:footerReference r:id="rId6" w:type="default"/>
          <w:pgSz w:w="11906" w:h="16838"/>
          <w:pgMar w:top="1440" w:right="1797" w:bottom="1440" w:left="1797" w:header="851" w:footer="992" w:gutter="0"/>
          <w:pgNumType w:start="1"/>
          <w:cols w:space="425" w:num="1"/>
          <w:titlePg/>
          <w:docGrid w:linePitch="462" w:charSpace="0"/>
        </w:sectPr>
      </w:pPr>
      <w:bookmarkStart w:id="29" w:name="_Toc432592814"/>
    </w:p>
    <w:p>
      <w:pPr>
        <w:pStyle w:val="33"/>
        <w:tabs>
          <w:tab w:val="clear" w:pos="426"/>
        </w:tabs>
        <w:rPr>
          <w:highlight w:val="none"/>
        </w:rPr>
      </w:pPr>
      <w:bookmarkStart w:id="30" w:name="_Toc3628659"/>
      <w:r>
        <w:rPr>
          <w:rFonts w:hint="eastAsia"/>
          <w:highlight w:val="none"/>
        </w:rPr>
        <w:t xml:space="preserve">第二章 </w:t>
      </w:r>
      <w:bookmarkEnd w:id="29"/>
      <w:r>
        <w:rPr>
          <w:rFonts w:hint="eastAsia"/>
          <w:highlight w:val="none"/>
        </w:rPr>
        <w:t>投标须知前附表</w:t>
      </w:r>
      <w:bookmarkEnd w:id="30"/>
    </w:p>
    <w:p>
      <w:pPr>
        <w:tabs>
          <w:tab w:val="clear" w:pos="426"/>
        </w:tabs>
        <w:spacing w:line="240" w:lineRule="auto"/>
        <w:ind w:right="-174" w:rightChars="-83"/>
        <w:rPr>
          <w:highlight w:val="none"/>
        </w:rPr>
      </w:pPr>
      <w:r>
        <w:rPr>
          <w:rFonts w:hint="eastAsia"/>
          <w:highlight w:val="none"/>
        </w:rPr>
        <w:t>说明：本表是对通用条款《投标人须知》条款的补充、修改和完善，如果有矛盾，应以本表为准。</w:t>
      </w:r>
    </w:p>
    <w:tbl>
      <w:tblPr>
        <w:tblStyle w:val="44"/>
        <w:tblW w:w="957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627"/>
        <w:gridCol w:w="719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序号</w:t>
            </w:r>
          </w:p>
        </w:tc>
        <w:tc>
          <w:tcPr>
            <w:tcW w:w="1627" w:type="dxa"/>
            <w:vAlign w:val="center"/>
          </w:tcPr>
          <w:p>
            <w:pPr>
              <w:tabs>
                <w:tab w:val="clear" w:pos="426"/>
              </w:tabs>
              <w:adjustRightInd/>
              <w:snapToGrid/>
              <w:spacing w:line="240" w:lineRule="exact"/>
              <w:jc w:val="center"/>
              <w:rPr>
                <w:highlight w:val="none"/>
              </w:rPr>
            </w:pPr>
            <w:r>
              <w:rPr>
                <w:rFonts w:hint="eastAsia"/>
                <w:highlight w:val="none"/>
              </w:rPr>
              <w:t>内容</w:t>
            </w:r>
          </w:p>
        </w:tc>
        <w:tc>
          <w:tcPr>
            <w:tcW w:w="7193" w:type="dxa"/>
            <w:vAlign w:val="center"/>
          </w:tcPr>
          <w:p>
            <w:pPr>
              <w:tabs>
                <w:tab w:val="clear" w:pos="426"/>
              </w:tabs>
              <w:adjustRightInd/>
              <w:snapToGrid/>
              <w:spacing w:line="240" w:lineRule="exact"/>
              <w:jc w:val="center"/>
              <w:rPr>
                <w:highlight w:val="none"/>
              </w:rPr>
            </w:pPr>
            <w:r>
              <w:rPr>
                <w:rFonts w:hint="eastAsia"/>
                <w:highlight w:val="none"/>
              </w:rPr>
              <w:t>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1</w:t>
            </w:r>
          </w:p>
        </w:tc>
        <w:tc>
          <w:tcPr>
            <w:tcW w:w="1627" w:type="dxa"/>
            <w:vAlign w:val="center"/>
          </w:tcPr>
          <w:p>
            <w:pPr>
              <w:tabs>
                <w:tab w:val="clear" w:pos="426"/>
              </w:tabs>
              <w:adjustRightInd/>
              <w:snapToGrid/>
              <w:spacing w:line="240" w:lineRule="exact"/>
              <w:rPr>
                <w:highlight w:val="none"/>
              </w:rPr>
            </w:pPr>
            <w:r>
              <w:rPr>
                <w:rFonts w:hint="eastAsia"/>
                <w:highlight w:val="none"/>
              </w:rPr>
              <w:t>联合体投标</w:t>
            </w:r>
          </w:p>
        </w:tc>
        <w:tc>
          <w:tcPr>
            <w:tcW w:w="7193" w:type="dxa"/>
            <w:vAlign w:val="center"/>
          </w:tcPr>
          <w:p>
            <w:pPr>
              <w:tabs>
                <w:tab w:val="clear" w:pos="426"/>
              </w:tabs>
              <w:adjustRightInd/>
              <w:snapToGrid/>
              <w:spacing w:line="240" w:lineRule="exact"/>
              <w:rPr>
                <w:highlight w:val="none"/>
              </w:rPr>
            </w:pPr>
            <w:r>
              <w:rPr>
                <w:rFonts w:hint="eastAsia"/>
                <w:highlight w:val="none"/>
              </w:rPr>
              <w:t>■不接受（招标文件中相关联合体规定均不适用）   □接受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2</w:t>
            </w:r>
          </w:p>
        </w:tc>
        <w:tc>
          <w:tcPr>
            <w:tcW w:w="1627" w:type="dxa"/>
            <w:vAlign w:val="center"/>
          </w:tcPr>
          <w:p>
            <w:pPr>
              <w:tabs>
                <w:tab w:val="clear" w:pos="426"/>
              </w:tabs>
              <w:adjustRightInd/>
              <w:snapToGrid/>
              <w:spacing w:line="240" w:lineRule="exact"/>
              <w:rPr>
                <w:highlight w:val="none"/>
              </w:rPr>
            </w:pPr>
            <w:r>
              <w:rPr>
                <w:highlight w:val="none"/>
              </w:rPr>
              <w:t>踏勘现场</w:t>
            </w:r>
          </w:p>
        </w:tc>
        <w:tc>
          <w:tcPr>
            <w:tcW w:w="7193" w:type="dxa"/>
            <w:vAlign w:val="center"/>
          </w:tcPr>
          <w:p>
            <w:pPr>
              <w:tabs>
                <w:tab w:val="clear" w:pos="426"/>
              </w:tabs>
              <w:adjustRightInd/>
              <w:snapToGrid/>
              <w:spacing w:line="240" w:lineRule="exact"/>
              <w:rPr>
                <w:highlight w:val="none"/>
              </w:rPr>
            </w:pPr>
            <w:r>
              <w:rPr>
                <w:rFonts w:hint="eastAsia"/>
                <w:highlight w:val="none"/>
              </w:rPr>
              <w:sym w:font="Wingdings 2" w:char="00A3"/>
            </w:r>
            <w:r>
              <w:rPr>
                <w:rFonts w:hint="eastAsia"/>
                <w:highlight w:val="none"/>
              </w:rPr>
              <w:t>不组织。</w:t>
            </w:r>
          </w:p>
          <w:p>
            <w:pPr>
              <w:tabs>
                <w:tab w:val="clear" w:pos="426"/>
              </w:tabs>
              <w:adjustRightInd/>
              <w:snapToGrid/>
              <w:spacing w:line="240" w:lineRule="exact"/>
              <w:rPr>
                <w:highlight w:val="none"/>
              </w:rPr>
            </w:pPr>
            <w:r>
              <w:rPr>
                <w:rFonts w:hint="eastAsia"/>
                <w:highlight w:val="none"/>
              </w:rPr>
              <w:t>■组织。踏勘时间：</w:t>
            </w:r>
            <w:r>
              <w:rPr>
                <w:rFonts w:hint="eastAsia"/>
                <w:highlight w:val="none"/>
                <w:u w:val="single"/>
              </w:rPr>
              <w:t xml:space="preserve"> </w:t>
            </w:r>
            <w:r>
              <w:rPr>
                <w:rFonts w:hint="eastAsia"/>
                <w:highlight w:val="none"/>
                <w:u w:val="single"/>
                <w:lang w:val="en-US" w:eastAsia="zh-CN"/>
              </w:rPr>
              <w:t>2019</w:t>
            </w:r>
            <w:r>
              <w:rPr>
                <w:rFonts w:hint="eastAsia"/>
                <w:highlight w:val="none"/>
                <w:u w:val="single"/>
              </w:rPr>
              <w:t>年</w:t>
            </w:r>
            <w:r>
              <w:rPr>
                <w:rFonts w:hint="eastAsia"/>
                <w:highlight w:val="none"/>
                <w:u w:val="single"/>
                <w:lang w:val="en-US" w:eastAsia="zh-CN"/>
              </w:rPr>
              <w:t>6</w:t>
            </w:r>
            <w:r>
              <w:rPr>
                <w:rFonts w:hint="eastAsia"/>
                <w:highlight w:val="none"/>
                <w:u w:val="single"/>
              </w:rPr>
              <w:t>月</w:t>
            </w:r>
            <w:r>
              <w:rPr>
                <w:rFonts w:hint="eastAsia"/>
                <w:highlight w:val="none"/>
                <w:u w:val="single"/>
                <w:lang w:val="en-US" w:eastAsia="zh-CN"/>
              </w:rPr>
              <w:t>17</w:t>
            </w:r>
            <w:r>
              <w:rPr>
                <w:rFonts w:hint="eastAsia"/>
                <w:highlight w:val="none"/>
                <w:u w:val="single"/>
              </w:rPr>
              <w:t>日</w:t>
            </w:r>
            <w:r>
              <w:rPr>
                <w:rFonts w:hint="eastAsia"/>
                <w:highlight w:val="none"/>
                <w:u w:val="single"/>
                <w:lang w:val="en-US" w:eastAsia="zh-CN"/>
              </w:rPr>
              <w:t>15</w:t>
            </w:r>
            <w:r>
              <w:rPr>
                <w:rFonts w:hint="eastAsia"/>
                <w:highlight w:val="none"/>
                <w:u w:val="single"/>
              </w:rPr>
              <w:t xml:space="preserve"> 时</w:t>
            </w:r>
            <w:r>
              <w:rPr>
                <w:rFonts w:hint="eastAsia"/>
                <w:highlight w:val="none"/>
                <w:u w:val="single"/>
                <w:lang w:val="en-US" w:eastAsia="zh-CN"/>
              </w:rPr>
              <w:t>00</w:t>
            </w:r>
            <w:r>
              <w:rPr>
                <w:rFonts w:hint="eastAsia"/>
                <w:highlight w:val="none"/>
                <w:u w:val="single"/>
              </w:rPr>
              <w:t>分</w:t>
            </w:r>
          </w:p>
          <w:p>
            <w:pPr>
              <w:tabs>
                <w:tab w:val="clear" w:pos="426"/>
              </w:tabs>
              <w:adjustRightInd/>
              <w:snapToGrid/>
              <w:spacing w:line="240" w:lineRule="exact"/>
              <w:rPr>
                <w:highlight w:val="none"/>
              </w:rPr>
            </w:pPr>
            <w:r>
              <w:rPr>
                <w:rFonts w:hint="eastAsia"/>
                <w:highlight w:val="none"/>
              </w:rPr>
              <w:t xml:space="preserve">        集合地点：</w:t>
            </w:r>
            <w:r>
              <w:rPr>
                <w:rFonts w:hint="eastAsia"/>
                <w:highlight w:val="none"/>
                <w:u w:val="single"/>
              </w:rPr>
              <w:t>深圳市坪山区锦绣中路3号同心外国语学校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3</w:t>
            </w:r>
          </w:p>
        </w:tc>
        <w:tc>
          <w:tcPr>
            <w:tcW w:w="1627" w:type="dxa"/>
            <w:vAlign w:val="center"/>
          </w:tcPr>
          <w:p>
            <w:pPr>
              <w:tabs>
                <w:tab w:val="clear" w:pos="426"/>
              </w:tabs>
              <w:adjustRightInd/>
              <w:snapToGrid/>
              <w:spacing w:line="240" w:lineRule="exact"/>
              <w:rPr>
                <w:highlight w:val="none"/>
              </w:rPr>
            </w:pPr>
            <w:r>
              <w:rPr>
                <w:rFonts w:hint="eastAsia"/>
                <w:highlight w:val="none"/>
              </w:rPr>
              <w:t>投标人提出疑问截止时间</w:t>
            </w:r>
          </w:p>
        </w:tc>
        <w:tc>
          <w:tcPr>
            <w:tcW w:w="7193" w:type="dxa"/>
            <w:vAlign w:val="center"/>
          </w:tcPr>
          <w:p>
            <w:pPr>
              <w:tabs>
                <w:tab w:val="clear" w:pos="426"/>
              </w:tabs>
              <w:adjustRightInd/>
              <w:snapToGrid/>
              <w:spacing w:line="240" w:lineRule="exact"/>
              <w:rPr>
                <w:highlight w:val="none"/>
              </w:rPr>
            </w:pPr>
            <w:r>
              <w:rPr>
                <w:rFonts w:hint="eastAsia"/>
                <w:highlight w:val="none"/>
              </w:rPr>
              <w:t>采购文件发布之日起第7个工作日</w:t>
            </w:r>
            <w:r>
              <w:rPr>
                <w:rFonts w:hint="eastAsia"/>
                <w:highlight w:val="none"/>
                <w:u w:val="single"/>
              </w:rPr>
              <w:t>17：30</w:t>
            </w:r>
            <w:r>
              <w:rPr>
                <w:rFonts w:hint="eastAsia"/>
                <w:highlight w:val="none"/>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4</w:t>
            </w:r>
          </w:p>
        </w:tc>
        <w:tc>
          <w:tcPr>
            <w:tcW w:w="1627" w:type="dxa"/>
            <w:vAlign w:val="center"/>
          </w:tcPr>
          <w:p>
            <w:pPr>
              <w:tabs>
                <w:tab w:val="clear" w:pos="426"/>
              </w:tabs>
              <w:adjustRightInd/>
              <w:snapToGrid/>
              <w:spacing w:line="240" w:lineRule="exact"/>
              <w:rPr>
                <w:highlight w:val="none"/>
              </w:rPr>
            </w:pPr>
            <w:r>
              <w:rPr>
                <w:rFonts w:hint="eastAsia"/>
                <w:highlight w:val="none"/>
              </w:rPr>
              <w:t>澄清或修补、答疑的期限</w:t>
            </w:r>
          </w:p>
        </w:tc>
        <w:tc>
          <w:tcPr>
            <w:tcW w:w="7193" w:type="dxa"/>
            <w:vAlign w:val="center"/>
          </w:tcPr>
          <w:p>
            <w:pPr>
              <w:tabs>
                <w:tab w:val="clear" w:pos="426"/>
              </w:tabs>
              <w:adjustRightInd/>
              <w:snapToGrid/>
              <w:spacing w:line="240" w:lineRule="exact"/>
              <w:rPr>
                <w:highlight w:val="none"/>
              </w:rPr>
            </w:pPr>
            <w:r>
              <w:rPr>
                <w:rFonts w:hint="eastAsia"/>
                <w:highlight w:val="none"/>
              </w:rPr>
              <w:t>截标3</w:t>
            </w:r>
            <w:r>
              <w:rPr>
                <w:highlight w:val="none"/>
              </w:rPr>
              <w:t>日</w:t>
            </w:r>
            <w:r>
              <w:rPr>
                <w:rFonts w:hint="eastAsia"/>
                <w:highlight w:val="none"/>
              </w:rPr>
              <w:t>前</w:t>
            </w:r>
            <w:r>
              <w:rPr>
                <w:rFonts w:hint="eastAsia"/>
                <w:highlight w:val="none"/>
                <w:u w:val="single"/>
              </w:rPr>
              <w:t>17：30</w:t>
            </w:r>
            <w:r>
              <w:rPr>
                <w:rFonts w:hint="eastAsia"/>
                <w:highlight w:val="none"/>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5</w:t>
            </w:r>
          </w:p>
        </w:tc>
        <w:tc>
          <w:tcPr>
            <w:tcW w:w="1627" w:type="dxa"/>
            <w:vAlign w:val="center"/>
          </w:tcPr>
          <w:p>
            <w:pPr>
              <w:tabs>
                <w:tab w:val="clear" w:pos="426"/>
              </w:tabs>
              <w:adjustRightInd/>
              <w:snapToGrid/>
              <w:spacing w:line="240" w:lineRule="exact"/>
              <w:rPr>
                <w:highlight w:val="none"/>
              </w:rPr>
            </w:pPr>
            <w:r>
              <w:rPr>
                <w:rFonts w:hint="eastAsia"/>
                <w:highlight w:val="none"/>
              </w:rPr>
              <w:t>招标代理</w:t>
            </w:r>
            <w:r>
              <w:rPr>
                <w:highlight w:val="none"/>
              </w:rPr>
              <w:t>服务费</w:t>
            </w:r>
          </w:p>
        </w:tc>
        <w:tc>
          <w:tcPr>
            <w:tcW w:w="7193" w:type="dxa"/>
            <w:vAlign w:val="center"/>
          </w:tcPr>
          <w:p>
            <w:pPr>
              <w:tabs>
                <w:tab w:val="clear" w:pos="426"/>
              </w:tabs>
              <w:adjustRightInd/>
              <w:snapToGrid/>
              <w:spacing w:line="240" w:lineRule="exact"/>
              <w:rPr>
                <w:highlight w:val="none"/>
              </w:rPr>
            </w:pPr>
            <w:r>
              <w:rPr>
                <w:rFonts w:hint="eastAsia"/>
                <w:highlight w:val="none"/>
              </w:rPr>
              <w:t>采购代理机构以中标金额为计算基数，按《深圳市财政委员会关于规范深圳市社会采购代理机构管理有关事项的补充通知》（深财购〔</w:t>
            </w:r>
            <w:r>
              <w:rPr>
                <w:highlight w:val="none"/>
              </w:rPr>
              <w:t>2018〕27号）规定的招标代理服务费收费办法，按差额定率累进法计算，并向中标人收取。</w:t>
            </w:r>
            <w:r>
              <w:rPr>
                <w:rFonts w:hint="eastAsia"/>
                <w:highlight w:val="none"/>
              </w:rPr>
              <w:t>交易服务费采用转账的方式，账户信息如下：</w:t>
            </w:r>
          </w:p>
          <w:p>
            <w:pPr>
              <w:tabs>
                <w:tab w:val="clear" w:pos="426"/>
              </w:tabs>
              <w:adjustRightInd/>
              <w:snapToGrid/>
              <w:spacing w:line="240" w:lineRule="exact"/>
              <w:rPr>
                <w:highlight w:val="none"/>
              </w:rPr>
            </w:pPr>
            <w:r>
              <w:rPr>
                <w:rFonts w:hint="eastAsia"/>
                <w:highlight w:val="none"/>
              </w:rPr>
              <w:t>户名：深圳市深水水务咨询有限公司</w:t>
            </w:r>
          </w:p>
          <w:p>
            <w:pPr>
              <w:tabs>
                <w:tab w:val="clear" w:pos="426"/>
              </w:tabs>
              <w:adjustRightInd/>
              <w:snapToGrid/>
              <w:spacing w:line="240" w:lineRule="exact"/>
              <w:rPr>
                <w:highlight w:val="none"/>
              </w:rPr>
            </w:pPr>
            <w:r>
              <w:rPr>
                <w:rFonts w:hint="eastAsia"/>
                <w:highlight w:val="none"/>
              </w:rPr>
              <w:t>账号：</w:t>
            </w:r>
            <w:r>
              <w:rPr>
                <w:highlight w:val="none"/>
              </w:rPr>
              <w:t>4000021219200366130</w:t>
            </w:r>
          </w:p>
          <w:p>
            <w:pPr>
              <w:tabs>
                <w:tab w:val="clear" w:pos="426"/>
              </w:tabs>
              <w:adjustRightInd/>
              <w:snapToGrid/>
              <w:spacing w:line="240" w:lineRule="exact"/>
              <w:rPr>
                <w:highlight w:val="none"/>
              </w:rPr>
            </w:pPr>
            <w:r>
              <w:rPr>
                <w:rFonts w:hint="eastAsia"/>
                <w:highlight w:val="none"/>
              </w:rPr>
              <w:t>开户行：中国工商银行深圳红围支行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6</w:t>
            </w:r>
          </w:p>
        </w:tc>
        <w:tc>
          <w:tcPr>
            <w:tcW w:w="1627" w:type="dxa"/>
            <w:vAlign w:val="center"/>
          </w:tcPr>
          <w:p>
            <w:pPr>
              <w:tabs>
                <w:tab w:val="clear" w:pos="426"/>
              </w:tabs>
              <w:adjustRightInd/>
              <w:snapToGrid/>
              <w:spacing w:line="240" w:lineRule="exact"/>
              <w:rPr>
                <w:highlight w:val="none"/>
              </w:rPr>
            </w:pPr>
            <w:r>
              <w:rPr>
                <w:highlight w:val="none"/>
              </w:rPr>
              <w:t>投标</w:t>
            </w:r>
            <w:r>
              <w:rPr>
                <w:rFonts w:hint="eastAsia"/>
                <w:highlight w:val="none"/>
              </w:rPr>
              <w:t>担保</w:t>
            </w:r>
          </w:p>
        </w:tc>
        <w:tc>
          <w:tcPr>
            <w:tcW w:w="7193" w:type="dxa"/>
            <w:vAlign w:val="center"/>
          </w:tcPr>
          <w:p>
            <w:pPr>
              <w:spacing w:line="240" w:lineRule="exact"/>
              <w:rPr>
                <w:color w:val="000000"/>
                <w:highlight w:val="none"/>
              </w:rPr>
            </w:pPr>
            <w:r>
              <w:rPr>
                <w:rFonts w:hint="eastAsia"/>
                <w:color w:val="000000"/>
                <w:highlight w:val="none"/>
              </w:rPr>
              <w:t>根据《深圳市财政委员会关于规范政府采购项目投标保证金和履约保证金管理的通知》深财购﹝2017﹞55号文：</w:t>
            </w:r>
          </w:p>
          <w:p>
            <w:pPr>
              <w:numPr>
                <w:ilvl w:val="255"/>
                <w:numId w:val="0"/>
              </w:numPr>
              <w:spacing w:line="240" w:lineRule="exact"/>
              <w:rPr>
                <w:color w:val="000000"/>
                <w:szCs w:val="21"/>
                <w:highlight w:val="none"/>
              </w:rPr>
            </w:pPr>
            <w:r>
              <w:rPr>
                <w:rFonts w:hint="eastAsia"/>
                <w:color w:val="000000"/>
                <w:szCs w:val="21"/>
                <w:highlight w:val="none"/>
              </w:rPr>
              <w:t>（1）供应商须为深圳市政府采购注册供应商并缴纳保证金一万元（由深圳市政府采购中心收取）；如另有规定，详见招标文件《专用条款》规定。</w:t>
            </w:r>
          </w:p>
          <w:p>
            <w:pPr>
              <w:spacing w:line="240" w:lineRule="exact"/>
              <w:rPr>
                <w:color w:val="000000"/>
                <w:szCs w:val="21"/>
                <w:highlight w:val="none"/>
              </w:rPr>
            </w:pPr>
            <w:r>
              <w:rPr>
                <w:rFonts w:hint="eastAsia"/>
                <w:color w:val="000000"/>
                <w:szCs w:val="21"/>
                <w:highlight w:val="none"/>
              </w:rPr>
              <w:t>（2）投标保证金必须在项目开标日前两个工作日到账。</w:t>
            </w:r>
          </w:p>
          <w:p>
            <w:pPr>
              <w:spacing w:line="240" w:lineRule="exact"/>
              <w:rPr>
                <w:color w:val="000000"/>
                <w:szCs w:val="21"/>
                <w:highlight w:val="none"/>
              </w:rPr>
            </w:pPr>
            <w:r>
              <w:rPr>
                <w:rFonts w:hint="eastAsia"/>
                <w:color w:val="000000"/>
                <w:szCs w:val="21"/>
                <w:highlight w:val="none"/>
              </w:rPr>
              <w:t>（3）交纳投标保证金应一律从投标人基本账户转出，否则按隐瞒真实情况，提供虚假资料处理。取消现金汇款等交纳方式，禁止个人银行结算账户转出和第三方代交。</w:t>
            </w:r>
          </w:p>
          <w:p>
            <w:pPr>
              <w:spacing w:line="240" w:lineRule="exact"/>
              <w:rPr>
                <w:color w:val="000000"/>
                <w:szCs w:val="21"/>
                <w:highlight w:val="none"/>
              </w:rPr>
            </w:pPr>
            <w:r>
              <w:rPr>
                <w:rFonts w:hint="eastAsia"/>
                <w:color w:val="000000"/>
                <w:szCs w:val="21"/>
                <w:highlight w:val="none"/>
              </w:rPr>
              <w:t>（4）投标人须提供承诺函，承诺已在市政府采购中心缴纳投标保证金，所缴纳的投标保证金作为本次政府采购活动的投标保证金；若投标保证金被依法不予退还，应及时补缴，否则投标无效。</w:t>
            </w:r>
          </w:p>
          <w:p>
            <w:pPr>
              <w:spacing w:line="240" w:lineRule="exact"/>
              <w:rPr>
                <w:color w:val="000000"/>
                <w:szCs w:val="21"/>
                <w:highlight w:val="none"/>
              </w:rPr>
            </w:pPr>
            <w:r>
              <w:rPr>
                <w:rFonts w:hint="eastAsia"/>
                <w:color w:val="000000"/>
                <w:szCs w:val="21"/>
                <w:highlight w:val="none"/>
              </w:rPr>
              <w:t>（5）以上相关要求必须严格遵守。否则，由此造成的后果由供应商自行负责。</w:t>
            </w:r>
          </w:p>
          <w:p>
            <w:pPr>
              <w:spacing w:line="240" w:lineRule="exact"/>
              <w:rPr>
                <w:color w:val="000000"/>
                <w:szCs w:val="21"/>
                <w:highlight w:val="none"/>
              </w:rPr>
            </w:pPr>
            <w:r>
              <w:rPr>
                <w:rFonts w:hint="eastAsia"/>
                <w:color w:val="000000"/>
                <w:szCs w:val="21"/>
                <w:highlight w:val="none"/>
              </w:rPr>
              <w:t>（6）缴纳投标保证金账户信息：</w:t>
            </w:r>
          </w:p>
          <w:p>
            <w:pPr>
              <w:spacing w:line="240" w:lineRule="exact"/>
              <w:rPr>
                <w:color w:val="000000"/>
                <w:szCs w:val="21"/>
                <w:highlight w:val="none"/>
              </w:rPr>
            </w:pPr>
            <w:r>
              <w:rPr>
                <w:rFonts w:hint="eastAsia"/>
                <w:color w:val="000000"/>
                <w:szCs w:val="21"/>
                <w:highlight w:val="none"/>
              </w:rPr>
              <w:t xml:space="preserve">账户名称：深圳市政府采购中心 </w:t>
            </w:r>
          </w:p>
          <w:p>
            <w:pPr>
              <w:spacing w:line="240" w:lineRule="exact"/>
              <w:rPr>
                <w:color w:val="000000"/>
                <w:szCs w:val="21"/>
                <w:highlight w:val="none"/>
              </w:rPr>
            </w:pPr>
            <w:r>
              <w:rPr>
                <w:rFonts w:hint="eastAsia"/>
                <w:color w:val="000000"/>
                <w:szCs w:val="21"/>
                <w:highlight w:val="none"/>
              </w:rPr>
              <w:t>账    号：0012100200549</w:t>
            </w:r>
          </w:p>
          <w:p>
            <w:pPr>
              <w:spacing w:line="240" w:lineRule="exact"/>
              <w:rPr>
                <w:color w:val="000000"/>
                <w:szCs w:val="21"/>
                <w:highlight w:val="none"/>
              </w:rPr>
            </w:pPr>
            <w:r>
              <w:rPr>
                <w:rFonts w:hint="eastAsia"/>
                <w:color w:val="000000"/>
                <w:szCs w:val="21"/>
                <w:highlight w:val="none"/>
              </w:rPr>
              <w:t xml:space="preserve">开户银行：平安银行股份有限公司深圳分行营业部  </w:t>
            </w:r>
          </w:p>
          <w:p>
            <w:pPr>
              <w:tabs>
                <w:tab w:val="clear" w:pos="426"/>
              </w:tabs>
              <w:adjustRightInd/>
              <w:snapToGrid/>
              <w:spacing w:line="240" w:lineRule="exact"/>
              <w:rPr>
                <w:color w:val="000000"/>
                <w:szCs w:val="21"/>
                <w:highlight w:val="none"/>
              </w:rPr>
            </w:pPr>
            <w:r>
              <w:rPr>
                <w:rFonts w:hint="eastAsia"/>
                <w:color w:val="000000"/>
                <w:szCs w:val="21"/>
                <w:highlight w:val="none"/>
              </w:rPr>
              <w:t>行    号：307584021015</w:t>
            </w:r>
          </w:p>
          <w:p>
            <w:pPr>
              <w:tabs>
                <w:tab w:val="clear" w:pos="426"/>
              </w:tabs>
              <w:adjustRightInd/>
              <w:snapToGrid/>
              <w:spacing w:line="240" w:lineRule="exact"/>
              <w:rPr>
                <w:highlight w:val="none"/>
              </w:rPr>
            </w:pPr>
            <w:r>
              <w:rPr>
                <w:rFonts w:hint="eastAsia"/>
                <w:highlight w:val="none"/>
              </w:rPr>
              <w:t>（</w:t>
            </w:r>
            <w:r>
              <w:rPr>
                <w:highlight w:val="none"/>
              </w:rPr>
              <w:t>7）咨询电话：0755-83948155</w:t>
            </w:r>
            <w:r>
              <w:rPr>
                <w:rFonts w:hint="eastAsia"/>
                <w:highlight w:val="none"/>
              </w:rPr>
              <w:t>市采购中心保证金业务办理事宜。</w:t>
            </w:r>
            <w:r>
              <w:rPr>
                <w:highlight w:val="none"/>
              </w:rPr>
              <w:t>办理网址</w:t>
            </w:r>
            <w:r>
              <w:rPr>
                <w:rFonts w:hint="eastAsia"/>
                <w:highlight w:val="none"/>
              </w:rPr>
              <w:t>：</w:t>
            </w:r>
            <w:r>
              <w:rPr>
                <w:highlight w:val="none"/>
              </w:rPr>
              <w:t>http://www.cgzx.sz.gov.cn/zxfw/mxgys/bzjywbl/</w:t>
            </w:r>
            <w:r>
              <w:rPr>
                <w:highlight w:val="none"/>
              </w:rPr>
              <w:fldChar w:fldCharType="begin"/>
            </w:r>
            <w:r>
              <w:rPr>
                <w:highlight w:val="none"/>
              </w:rPr>
              <w:instrText xml:space="preserve"> HYPERLINK "http://www.cgzx.sz.gov.cn/zxfw/gys/bzjblzn/" </w:instrText>
            </w:r>
            <w:r>
              <w:rPr>
                <w:highlight w:val="none"/>
              </w:rPr>
              <w:fldChar w:fldCharType="separate"/>
            </w:r>
            <w:r>
              <w:rPr>
                <w:highlight w:val="none"/>
              </w:rPr>
              <w:fldChar w:fldCharType="end"/>
            </w:r>
            <w:r>
              <w:rPr>
                <w:rStyle w:val="52"/>
                <w:rFonts w:hint="default"/>
                <w:highlight w:val="none"/>
              </w:rPr>
              <w:t xml:space="preserve">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7</w:t>
            </w:r>
          </w:p>
        </w:tc>
        <w:tc>
          <w:tcPr>
            <w:tcW w:w="1627" w:type="dxa"/>
            <w:vAlign w:val="center"/>
          </w:tcPr>
          <w:p>
            <w:pPr>
              <w:tabs>
                <w:tab w:val="clear" w:pos="426"/>
              </w:tabs>
              <w:adjustRightInd/>
              <w:snapToGrid/>
              <w:spacing w:line="240" w:lineRule="exact"/>
              <w:rPr>
                <w:highlight w:val="none"/>
              </w:rPr>
            </w:pPr>
            <w:r>
              <w:rPr>
                <w:highlight w:val="none"/>
              </w:rPr>
              <w:t>投标有效期</w:t>
            </w:r>
          </w:p>
        </w:tc>
        <w:tc>
          <w:tcPr>
            <w:tcW w:w="7193" w:type="dxa"/>
            <w:vAlign w:val="center"/>
          </w:tcPr>
          <w:p>
            <w:pPr>
              <w:tabs>
                <w:tab w:val="clear" w:pos="426"/>
              </w:tabs>
              <w:adjustRightInd/>
              <w:snapToGrid/>
              <w:spacing w:line="240" w:lineRule="exact"/>
              <w:rPr>
                <w:highlight w:val="none"/>
              </w:rPr>
            </w:pPr>
            <w:r>
              <w:rPr>
                <w:rFonts w:hint="eastAsia"/>
                <w:highlight w:val="none"/>
              </w:rPr>
              <w:t>90</w:t>
            </w:r>
            <w:r>
              <w:rPr>
                <w:highlight w:val="none"/>
              </w:rPr>
              <w:t>日历天（</w:t>
            </w:r>
            <w:r>
              <w:rPr>
                <w:rFonts w:hint="eastAsia"/>
                <w:highlight w:val="none"/>
              </w:rPr>
              <w:t>从投标截止之日算起</w:t>
            </w:r>
            <w:r>
              <w:rPr>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8</w:t>
            </w:r>
          </w:p>
        </w:tc>
        <w:tc>
          <w:tcPr>
            <w:tcW w:w="1627" w:type="dxa"/>
            <w:vAlign w:val="center"/>
          </w:tcPr>
          <w:p>
            <w:pPr>
              <w:tabs>
                <w:tab w:val="clear" w:pos="426"/>
              </w:tabs>
              <w:adjustRightInd/>
              <w:snapToGrid/>
              <w:spacing w:line="240" w:lineRule="exact"/>
              <w:rPr>
                <w:highlight w:val="none"/>
              </w:rPr>
            </w:pPr>
            <w:r>
              <w:rPr>
                <w:rFonts w:hint="eastAsia"/>
                <w:highlight w:val="none"/>
              </w:rPr>
              <w:t>替代方案</w:t>
            </w:r>
          </w:p>
        </w:tc>
        <w:tc>
          <w:tcPr>
            <w:tcW w:w="7193" w:type="dxa"/>
            <w:vAlign w:val="center"/>
          </w:tcPr>
          <w:p>
            <w:pPr>
              <w:tabs>
                <w:tab w:val="clear" w:pos="426"/>
              </w:tabs>
              <w:adjustRightInd/>
              <w:snapToGrid/>
              <w:spacing w:line="240" w:lineRule="exact"/>
              <w:rPr>
                <w:highlight w:val="none"/>
              </w:rPr>
            </w:pPr>
            <w:r>
              <w:rPr>
                <w:rFonts w:hint="eastAsia"/>
                <w:highlight w:val="none"/>
              </w:rPr>
              <w:t>■不允许          □允许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9</w:t>
            </w:r>
          </w:p>
        </w:tc>
        <w:tc>
          <w:tcPr>
            <w:tcW w:w="1627" w:type="dxa"/>
            <w:vAlign w:val="center"/>
          </w:tcPr>
          <w:p>
            <w:pPr>
              <w:tabs>
                <w:tab w:val="clear" w:pos="426"/>
              </w:tabs>
              <w:adjustRightInd/>
              <w:snapToGrid/>
              <w:spacing w:line="240" w:lineRule="exact"/>
              <w:rPr>
                <w:highlight w:val="none"/>
              </w:rPr>
            </w:pPr>
            <w:r>
              <w:rPr>
                <w:rFonts w:hint="eastAsia"/>
                <w:highlight w:val="none"/>
              </w:rPr>
              <w:t>评定分离</w:t>
            </w:r>
          </w:p>
        </w:tc>
        <w:tc>
          <w:tcPr>
            <w:tcW w:w="7193" w:type="dxa"/>
            <w:vAlign w:val="center"/>
          </w:tcPr>
          <w:p>
            <w:pPr>
              <w:tabs>
                <w:tab w:val="clear" w:pos="426"/>
              </w:tabs>
              <w:adjustRightInd/>
              <w:snapToGrid/>
              <w:spacing w:line="240" w:lineRule="exact"/>
              <w:rPr>
                <w:highlight w:val="none"/>
              </w:rPr>
            </w:pPr>
            <w:r>
              <w:rPr>
                <w:rFonts w:hint="eastAsia"/>
                <w:highlight w:val="none"/>
              </w:rPr>
              <w:t xml:space="preserve">□是             </w:t>
            </w:r>
            <w:r>
              <w:rPr>
                <w:highlight w:val="none"/>
              </w:rPr>
              <w:t>■</w:t>
            </w:r>
            <w:r>
              <w:rPr>
                <w:rFonts w:hint="eastAsia"/>
                <w:highlight w:val="none"/>
              </w:rPr>
              <w:t>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10</w:t>
            </w:r>
          </w:p>
        </w:tc>
        <w:tc>
          <w:tcPr>
            <w:tcW w:w="1627" w:type="dxa"/>
            <w:vAlign w:val="center"/>
          </w:tcPr>
          <w:p>
            <w:pPr>
              <w:tabs>
                <w:tab w:val="clear" w:pos="426"/>
              </w:tabs>
              <w:adjustRightInd/>
              <w:snapToGrid/>
              <w:spacing w:line="240" w:lineRule="exact"/>
              <w:rPr>
                <w:highlight w:val="none"/>
              </w:rPr>
            </w:pPr>
            <w:r>
              <w:rPr>
                <w:highlight w:val="none"/>
              </w:rPr>
              <w:t>评标</w:t>
            </w:r>
            <w:r>
              <w:rPr>
                <w:rFonts w:hint="eastAsia"/>
                <w:highlight w:val="none"/>
              </w:rPr>
              <w:t>方</w:t>
            </w:r>
            <w:r>
              <w:rPr>
                <w:highlight w:val="none"/>
              </w:rPr>
              <w:t>法</w:t>
            </w:r>
          </w:p>
        </w:tc>
        <w:tc>
          <w:tcPr>
            <w:tcW w:w="7193" w:type="dxa"/>
            <w:vAlign w:val="center"/>
          </w:tcPr>
          <w:p>
            <w:pPr>
              <w:tabs>
                <w:tab w:val="clear" w:pos="426"/>
              </w:tabs>
              <w:adjustRightInd/>
              <w:snapToGrid/>
              <w:spacing w:line="240" w:lineRule="exact"/>
              <w:rPr>
                <w:color w:val="000000"/>
                <w:szCs w:val="21"/>
                <w:highlight w:val="none"/>
              </w:rPr>
            </w:pPr>
            <w:r>
              <w:rPr>
                <w:highlight w:val="none"/>
              </w:rPr>
              <w:t>■</w:t>
            </w:r>
            <w:r>
              <w:rPr>
                <w:rFonts w:hint="eastAsia"/>
                <w:color w:val="000000"/>
                <w:szCs w:val="21"/>
                <w:highlight w:val="none"/>
              </w:rPr>
              <w:t xml:space="preserve">综合评分法     </w:t>
            </w:r>
            <w:r>
              <w:rPr>
                <w:rFonts w:hint="eastAsia"/>
                <w:highlight w:val="none"/>
              </w:rPr>
              <w:t>□</w:t>
            </w:r>
            <w:r>
              <w:rPr>
                <w:rFonts w:hint="eastAsia"/>
                <w:color w:val="000000"/>
                <w:szCs w:val="21"/>
                <w:highlight w:val="none"/>
              </w:rPr>
              <w:t xml:space="preserve">定性评审法      </w:t>
            </w:r>
            <w:r>
              <w:rPr>
                <w:rFonts w:hint="eastAsia"/>
                <w:highlight w:val="none"/>
              </w:rPr>
              <w:t>□</w:t>
            </w:r>
            <w:r>
              <w:rPr>
                <w:rFonts w:hint="eastAsia"/>
                <w:color w:val="000000"/>
                <w:szCs w:val="21"/>
                <w:highlight w:val="none"/>
              </w:rPr>
              <w:t>最低价法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11</w:t>
            </w:r>
          </w:p>
        </w:tc>
        <w:tc>
          <w:tcPr>
            <w:tcW w:w="1627" w:type="dxa"/>
            <w:vAlign w:val="center"/>
          </w:tcPr>
          <w:p>
            <w:pPr>
              <w:tabs>
                <w:tab w:val="clear" w:pos="426"/>
              </w:tabs>
              <w:adjustRightInd/>
              <w:snapToGrid/>
              <w:spacing w:line="240" w:lineRule="exact"/>
              <w:rPr>
                <w:highlight w:val="none"/>
              </w:rPr>
            </w:pPr>
            <w:r>
              <w:rPr>
                <w:rFonts w:hint="eastAsia"/>
                <w:highlight w:val="none"/>
              </w:rPr>
              <w:t>定</w:t>
            </w:r>
            <w:r>
              <w:rPr>
                <w:highlight w:val="none"/>
              </w:rPr>
              <w:t>标</w:t>
            </w:r>
            <w:r>
              <w:rPr>
                <w:rFonts w:hint="eastAsia"/>
                <w:highlight w:val="none"/>
              </w:rPr>
              <w:t>方</w:t>
            </w:r>
            <w:r>
              <w:rPr>
                <w:highlight w:val="none"/>
              </w:rPr>
              <w:t>法</w:t>
            </w:r>
          </w:p>
        </w:tc>
        <w:tc>
          <w:tcPr>
            <w:tcW w:w="7193" w:type="dxa"/>
            <w:vAlign w:val="center"/>
          </w:tcPr>
          <w:p>
            <w:pPr>
              <w:tabs>
                <w:tab w:val="clear" w:pos="426"/>
              </w:tabs>
              <w:adjustRightInd/>
              <w:snapToGrid/>
              <w:spacing w:line="240" w:lineRule="exact"/>
              <w:rPr>
                <w:color w:val="000000"/>
                <w:szCs w:val="21"/>
                <w:highlight w:val="none"/>
              </w:rPr>
            </w:pPr>
            <w:r>
              <w:rPr>
                <w:rFonts w:hint="eastAsia"/>
                <w:highlight w:val="none"/>
              </w:rPr>
              <w:t>□</w:t>
            </w:r>
            <w:r>
              <w:rPr>
                <w:rFonts w:hint="eastAsia"/>
                <w:color w:val="000000"/>
                <w:szCs w:val="21"/>
                <w:highlight w:val="none"/>
              </w:rPr>
              <w:t xml:space="preserve">自定法         </w:t>
            </w:r>
            <w:r>
              <w:rPr>
                <w:rFonts w:hint="eastAsia"/>
                <w:highlight w:val="none"/>
              </w:rPr>
              <w:t>□</w:t>
            </w:r>
            <w:r>
              <w:rPr>
                <w:rFonts w:hint="eastAsia"/>
                <w:color w:val="000000"/>
                <w:szCs w:val="21"/>
                <w:highlight w:val="none"/>
              </w:rPr>
              <w:t xml:space="preserve">抽签法          </w:t>
            </w:r>
            <w:r>
              <w:rPr>
                <w:rFonts w:hint="eastAsia"/>
                <w:highlight w:val="none"/>
              </w:rPr>
              <w:t>□</w:t>
            </w:r>
            <w:r>
              <w:rPr>
                <w:rFonts w:hint="eastAsia"/>
                <w:color w:val="000000"/>
                <w:szCs w:val="21"/>
                <w:highlight w:val="none"/>
              </w:rPr>
              <w:t>竞价法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12</w:t>
            </w:r>
          </w:p>
        </w:tc>
        <w:tc>
          <w:tcPr>
            <w:tcW w:w="1627" w:type="dxa"/>
            <w:vAlign w:val="center"/>
          </w:tcPr>
          <w:p>
            <w:pPr>
              <w:tabs>
                <w:tab w:val="clear" w:pos="426"/>
              </w:tabs>
              <w:adjustRightInd/>
              <w:snapToGrid/>
              <w:spacing w:line="240" w:lineRule="exact"/>
              <w:rPr>
                <w:highlight w:val="none"/>
              </w:rPr>
            </w:pPr>
            <w:r>
              <w:rPr>
                <w:highlight w:val="none"/>
              </w:rPr>
              <w:t>履约保证金</w:t>
            </w:r>
          </w:p>
        </w:tc>
        <w:tc>
          <w:tcPr>
            <w:tcW w:w="7193" w:type="dxa"/>
            <w:vAlign w:val="center"/>
          </w:tcPr>
          <w:p>
            <w:pPr>
              <w:tabs>
                <w:tab w:val="clear" w:pos="426"/>
              </w:tabs>
              <w:adjustRightInd/>
              <w:snapToGrid/>
              <w:spacing w:line="240" w:lineRule="exact"/>
              <w:rPr>
                <w:highlight w:val="none"/>
              </w:rPr>
            </w:pPr>
            <w:r>
              <w:rPr>
                <w:highlight w:val="none"/>
              </w:rPr>
              <w:t>■</w:t>
            </w:r>
            <w:r>
              <w:rPr>
                <w:rFonts w:hint="eastAsia"/>
                <w:highlight w:val="none"/>
              </w:rPr>
              <w:t>不提交         □提交</w:t>
            </w:r>
          </w:p>
          <w:p>
            <w:pPr>
              <w:tabs>
                <w:tab w:val="clear" w:pos="426"/>
              </w:tabs>
              <w:adjustRightInd/>
              <w:snapToGrid/>
              <w:spacing w:line="240" w:lineRule="exact"/>
              <w:rPr>
                <w:highlight w:val="none"/>
              </w:rPr>
            </w:pPr>
            <w:r>
              <w:rPr>
                <w:rFonts w:hint="eastAsia"/>
                <w:highlight w:val="none"/>
              </w:rPr>
              <w:t>担保金额：为中标价的</w:t>
            </w:r>
            <w:r>
              <w:rPr>
                <w:rFonts w:hint="eastAsia"/>
                <w:highlight w:val="none"/>
                <w:u w:val="single"/>
              </w:rPr>
              <w:t xml:space="preserve"> /  </w:t>
            </w:r>
            <w:r>
              <w:rPr>
                <w:rFonts w:hint="eastAsia"/>
                <w:highlight w:val="none"/>
              </w:rPr>
              <w:t>% 或</w:t>
            </w:r>
            <w:r>
              <w:rPr>
                <w:rFonts w:hint="eastAsia"/>
                <w:highlight w:val="none"/>
                <w:u w:val="single"/>
              </w:rPr>
              <w:t xml:space="preserve"> / </w:t>
            </w:r>
            <w:r>
              <w:rPr>
                <w:rFonts w:hint="eastAsia"/>
                <w:highlight w:val="none"/>
              </w:rPr>
              <w:t>万元</w:t>
            </w:r>
          </w:p>
          <w:p>
            <w:pPr>
              <w:tabs>
                <w:tab w:val="clear" w:pos="426"/>
              </w:tabs>
              <w:adjustRightInd/>
              <w:snapToGrid/>
              <w:spacing w:line="240" w:lineRule="exact"/>
              <w:rPr>
                <w:highlight w:val="none"/>
              </w:rPr>
            </w:pPr>
            <w:r>
              <w:rPr>
                <w:rFonts w:hint="eastAsia"/>
                <w:highlight w:val="none"/>
              </w:rPr>
              <w:t>担保提交时间：收到中标通知书后，并在签订合同前提交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13</w:t>
            </w:r>
          </w:p>
        </w:tc>
        <w:tc>
          <w:tcPr>
            <w:tcW w:w="1627" w:type="dxa"/>
            <w:vAlign w:val="center"/>
          </w:tcPr>
          <w:p>
            <w:pPr>
              <w:tabs>
                <w:tab w:val="clear" w:pos="426"/>
              </w:tabs>
              <w:adjustRightInd/>
              <w:snapToGrid/>
              <w:spacing w:line="240" w:lineRule="exact"/>
              <w:rPr>
                <w:highlight w:val="none"/>
              </w:rPr>
            </w:pPr>
            <w:r>
              <w:rPr>
                <w:highlight w:val="none"/>
              </w:rPr>
              <w:t>投标文件份数</w:t>
            </w:r>
          </w:p>
        </w:tc>
        <w:tc>
          <w:tcPr>
            <w:tcW w:w="7193" w:type="dxa"/>
            <w:vAlign w:val="center"/>
          </w:tcPr>
          <w:p>
            <w:pPr>
              <w:tabs>
                <w:tab w:val="clear" w:pos="426"/>
              </w:tabs>
              <w:adjustRightInd/>
              <w:snapToGrid/>
              <w:spacing w:line="240" w:lineRule="exact"/>
              <w:rPr>
                <w:highlight w:val="none"/>
              </w:rPr>
            </w:pPr>
            <w:r>
              <w:rPr>
                <w:rFonts w:hint="eastAsia"/>
                <w:highlight w:val="none"/>
              </w:rPr>
              <w:t>（1）开标信封一份；</w:t>
            </w:r>
          </w:p>
          <w:p>
            <w:pPr>
              <w:tabs>
                <w:tab w:val="clear" w:pos="426"/>
              </w:tabs>
              <w:adjustRightInd/>
              <w:snapToGrid/>
              <w:spacing w:line="240" w:lineRule="exact"/>
              <w:rPr>
                <w:highlight w:val="none"/>
              </w:rPr>
            </w:pPr>
            <w:r>
              <w:rPr>
                <w:rFonts w:hint="eastAsia"/>
                <w:highlight w:val="none"/>
              </w:rPr>
              <w:t>（2）纸质投标文件</w:t>
            </w:r>
            <w:r>
              <w:rPr>
                <w:highlight w:val="none"/>
                <w:u w:val="single"/>
              </w:rPr>
              <w:t>一</w:t>
            </w:r>
            <w:r>
              <w:rPr>
                <w:highlight w:val="none"/>
              </w:rPr>
              <w:t>正本，</w:t>
            </w:r>
            <w:r>
              <w:rPr>
                <w:highlight w:val="none"/>
                <w:u w:val="single"/>
              </w:rPr>
              <w:t>四</w:t>
            </w:r>
            <w:r>
              <w:rPr>
                <w:highlight w:val="none"/>
              </w:rPr>
              <w:t>副本</w:t>
            </w:r>
            <w:r>
              <w:rPr>
                <w:rFonts w:hint="eastAsia"/>
                <w:highlight w:val="none"/>
              </w:rPr>
              <w:t>，建议胶装，统一密封在一个外密封包里。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14</w:t>
            </w:r>
          </w:p>
        </w:tc>
        <w:tc>
          <w:tcPr>
            <w:tcW w:w="1627" w:type="dxa"/>
            <w:vAlign w:val="center"/>
          </w:tcPr>
          <w:p>
            <w:pPr>
              <w:tabs>
                <w:tab w:val="clear" w:pos="426"/>
              </w:tabs>
              <w:adjustRightInd/>
              <w:snapToGrid/>
              <w:spacing w:line="240" w:lineRule="exact"/>
              <w:rPr>
                <w:highlight w:val="none"/>
              </w:rPr>
            </w:pPr>
            <w:r>
              <w:rPr>
                <w:rFonts w:hint="eastAsia"/>
                <w:highlight w:val="none"/>
              </w:rPr>
              <w:t>投标文件电子版</w:t>
            </w:r>
          </w:p>
        </w:tc>
        <w:tc>
          <w:tcPr>
            <w:tcW w:w="7193" w:type="dxa"/>
            <w:vAlign w:val="center"/>
          </w:tcPr>
          <w:p>
            <w:pPr>
              <w:tabs>
                <w:tab w:val="clear" w:pos="426"/>
              </w:tabs>
              <w:adjustRightInd/>
              <w:snapToGrid/>
              <w:spacing w:line="240" w:lineRule="exact"/>
              <w:rPr>
                <w:highlight w:val="none"/>
              </w:rPr>
            </w:pPr>
            <w:r>
              <w:rPr>
                <w:rFonts w:hint="eastAsia"/>
                <w:highlight w:val="none"/>
              </w:rPr>
              <w:t>电子光盘一张（投标文件正本盖章后的彩色扫描件，</w:t>
            </w:r>
            <w:r>
              <w:rPr>
                <w:highlight w:val="none"/>
              </w:rPr>
              <w:t>PDF格式）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0" w:type="dxa"/>
            <w:vAlign w:val="center"/>
          </w:tcPr>
          <w:p>
            <w:pPr>
              <w:tabs>
                <w:tab w:val="clear" w:pos="426"/>
              </w:tabs>
              <w:adjustRightInd/>
              <w:snapToGrid/>
              <w:spacing w:line="240" w:lineRule="exact"/>
              <w:jc w:val="center"/>
              <w:rPr>
                <w:highlight w:val="none"/>
              </w:rPr>
            </w:pPr>
            <w:r>
              <w:rPr>
                <w:rFonts w:hint="eastAsia"/>
                <w:highlight w:val="none"/>
              </w:rPr>
              <w:t>15</w:t>
            </w:r>
          </w:p>
        </w:tc>
        <w:tc>
          <w:tcPr>
            <w:tcW w:w="1627" w:type="dxa"/>
            <w:vAlign w:val="center"/>
          </w:tcPr>
          <w:p>
            <w:pPr>
              <w:tabs>
                <w:tab w:val="clear" w:pos="426"/>
              </w:tabs>
              <w:adjustRightInd/>
              <w:snapToGrid/>
              <w:spacing w:line="240" w:lineRule="exact"/>
              <w:rPr>
                <w:highlight w:val="none"/>
              </w:rPr>
            </w:pPr>
            <w:r>
              <w:rPr>
                <w:rFonts w:hint="eastAsia"/>
                <w:highlight w:val="none"/>
              </w:rPr>
              <w:t>财政预算限额</w:t>
            </w:r>
          </w:p>
        </w:tc>
        <w:tc>
          <w:tcPr>
            <w:tcW w:w="7193" w:type="dxa"/>
            <w:vAlign w:val="center"/>
          </w:tcPr>
          <w:p>
            <w:pPr>
              <w:tabs>
                <w:tab w:val="clear" w:pos="426"/>
              </w:tabs>
              <w:adjustRightInd/>
              <w:snapToGrid/>
              <w:spacing w:line="240" w:lineRule="exact"/>
              <w:rPr>
                <w:color w:val="FF0000"/>
                <w:highlight w:val="none"/>
              </w:rPr>
            </w:pPr>
            <w:r>
              <w:rPr>
                <w:rFonts w:hint="eastAsia"/>
                <w:b/>
                <w:highlight w:val="none"/>
              </w:rPr>
              <w:t>金额：</w:t>
            </w:r>
            <w:r>
              <w:rPr>
                <w:rFonts w:hint="eastAsia"/>
                <w:b/>
                <w:highlight w:val="none"/>
                <w:u w:val="single"/>
              </w:rPr>
              <w:t>人民币 贰佰肆拾陆万元整</w:t>
            </w:r>
            <w:r>
              <w:rPr>
                <w:b/>
                <w:highlight w:val="none"/>
                <w:u w:val="single"/>
              </w:rPr>
              <w:t>（</w:t>
            </w:r>
            <w:r>
              <w:rPr>
                <w:rFonts w:hint="eastAsia" w:eastAsia="微软雅黑"/>
                <w:b/>
                <w:highlight w:val="none"/>
                <w:u w:val="single"/>
              </w:rPr>
              <w:t>¥2,460,000.00</w:t>
            </w:r>
            <w:r>
              <w:rPr>
                <w:rFonts w:hint="eastAsia"/>
                <w:b/>
                <w:highlight w:val="none"/>
                <w:u w:val="single"/>
              </w:rPr>
              <w:t>元</w:t>
            </w:r>
            <w:r>
              <w:rPr>
                <w:b/>
                <w:highlight w:val="none"/>
                <w:u w:val="single"/>
              </w:rPr>
              <w:t>）</w:t>
            </w:r>
            <w:r>
              <w:rPr>
                <w:rFonts w:hint="eastAsia"/>
                <w:b/>
                <w:highlight w:val="none"/>
                <w:u w:val="single"/>
              </w:rPr>
              <w:t>，</w:t>
            </w:r>
            <w:r>
              <w:rPr>
                <w:rFonts w:hint="eastAsia"/>
                <w:highlight w:val="none"/>
              </w:rPr>
              <w:t>分项预算限额详见货物清单一览表，超出财政预算限额或分项预算限额的投标文件将不被接受。</w:t>
            </w:r>
          </w:p>
        </w:tc>
      </w:tr>
    </w:tbl>
    <w:p>
      <w:pPr>
        <w:pStyle w:val="33"/>
        <w:tabs>
          <w:tab w:val="clear" w:pos="426"/>
        </w:tabs>
      </w:pPr>
      <w:r>
        <w:rPr>
          <w:highlight w:val="none"/>
        </w:rPr>
        <w:br w:type="page"/>
      </w:r>
      <w:bookmarkStart w:id="31" w:name="_Toc3628660"/>
      <w:bookmarkStart w:id="32" w:name="_Toc432592816"/>
      <w:bookmarkStart w:id="33" w:name="_Toc398220525"/>
      <w:r>
        <w:rPr>
          <w:rFonts w:hint="eastAsia"/>
        </w:rPr>
        <w:t xml:space="preserve">第三章 </w:t>
      </w:r>
      <w:r>
        <w:t>项目</w:t>
      </w:r>
      <w:r>
        <w:rPr>
          <w:rFonts w:hint="eastAsia"/>
        </w:rPr>
        <w:t>需求</w:t>
      </w:r>
      <w:bookmarkEnd w:id="31"/>
    </w:p>
    <w:p>
      <w:pPr>
        <w:numPr>
          <w:ilvl w:val="0"/>
          <w:numId w:val="32"/>
        </w:numPr>
        <w:adjustRightInd/>
        <w:snapToGrid/>
        <w:spacing w:before="280" w:after="290" w:line="377" w:lineRule="auto"/>
        <w:jc w:val="left"/>
        <w:outlineLvl w:val="2"/>
        <w:rPr>
          <w:b/>
          <w:sz w:val="24"/>
        </w:rPr>
      </w:pPr>
      <w:r>
        <w:rPr>
          <w:b/>
          <w:sz w:val="24"/>
        </w:rPr>
        <w:t>货物清单</w:t>
      </w:r>
      <w:r>
        <w:rPr>
          <w:rFonts w:hint="eastAsia"/>
          <w:b/>
          <w:sz w:val="24"/>
        </w:rPr>
        <w:t>一览表</w:t>
      </w:r>
    </w:p>
    <w:p>
      <w:pPr>
        <w:widowControl w:val="0"/>
        <w:shd w:val="clear" w:color="auto" w:fill="auto"/>
        <w:tabs>
          <w:tab w:val="clear" w:pos="426"/>
        </w:tabs>
        <w:adjustRightInd/>
        <w:snapToGrid/>
        <w:spacing w:before="120" w:beforeLines="50" w:line="300" w:lineRule="auto"/>
        <w:ind w:firstLine="422" w:firstLineChars="200"/>
        <w:rPr>
          <w:rFonts w:cs="Times New Roman"/>
          <w:b/>
          <w:bCs/>
          <w:kern w:val="2"/>
          <w:szCs w:val="21"/>
        </w:rPr>
      </w:pPr>
      <w:r>
        <w:rPr>
          <w:rFonts w:hint="eastAsia" w:cs="Times New Roman"/>
          <w:b/>
          <w:bCs/>
          <w:kern w:val="2"/>
          <w:szCs w:val="21"/>
        </w:rPr>
        <w:t>（一）货物总清单</w:t>
      </w:r>
    </w:p>
    <w:tbl>
      <w:tblPr>
        <w:tblStyle w:val="44"/>
        <w:tblW w:w="9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445"/>
        <w:gridCol w:w="3382"/>
        <w:gridCol w:w="651"/>
        <w:gridCol w:w="649"/>
        <w:gridCol w:w="2022"/>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604"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序号</w:t>
            </w:r>
          </w:p>
        </w:tc>
        <w:tc>
          <w:tcPr>
            <w:tcW w:w="1445"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hint="eastAsia" w:cs="Times New Roman"/>
                <w:b/>
                <w:bCs/>
                <w:szCs w:val="21"/>
              </w:rPr>
              <w:t>采购计划编号</w:t>
            </w:r>
          </w:p>
        </w:tc>
        <w:tc>
          <w:tcPr>
            <w:tcW w:w="3382" w:type="dxa"/>
            <w:vAlign w:val="center"/>
          </w:tcPr>
          <w:p>
            <w:pPr>
              <w:widowControl w:val="0"/>
              <w:jc w:val="center"/>
              <w:rPr>
                <w:rFonts w:cs="Times New Roman"/>
                <w:b/>
                <w:bCs/>
                <w:szCs w:val="21"/>
              </w:rPr>
            </w:pPr>
            <w:r>
              <w:rPr>
                <w:rFonts w:cs="Times New Roman"/>
                <w:b/>
                <w:bCs/>
                <w:szCs w:val="21"/>
              </w:rPr>
              <w:t>货物名称</w:t>
            </w:r>
          </w:p>
        </w:tc>
        <w:tc>
          <w:tcPr>
            <w:tcW w:w="651"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数量</w:t>
            </w:r>
          </w:p>
        </w:tc>
        <w:tc>
          <w:tcPr>
            <w:tcW w:w="649"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单位</w:t>
            </w:r>
          </w:p>
        </w:tc>
        <w:tc>
          <w:tcPr>
            <w:tcW w:w="2022"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财政预算限额(元)</w:t>
            </w:r>
          </w:p>
        </w:tc>
        <w:tc>
          <w:tcPr>
            <w:tcW w:w="766" w:type="dxa"/>
            <w:vAlign w:val="center"/>
          </w:tcPr>
          <w:p>
            <w:pPr>
              <w:widowControl w:val="0"/>
              <w:shd w:val="clear" w:color="auto" w:fill="auto"/>
              <w:tabs>
                <w:tab w:val="clear" w:pos="426"/>
              </w:tabs>
              <w:adjustRightInd/>
              <w:snapToGrid/>
              <w:spacing w:line="240" w:lineRule="auto"/>
              <w:jc w:val="center"/>
              <w:rPr>
                <w:rFonts w:cs="Times New Roman"/>
                <w:b/>
                <w:bCs/>
                <w:szCs w:val="21"/>
              </w:rPr>
            </w:pPr>
            <w:r>
              <w:rPr>
                <w:rFonts w:hint="eastAsia" w:cs="Times New Roman"/>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604" w:type="dxa"/>
            <w:vAlign w:val="center"/>
          </w:tcPr>
          <w:p>
            <w:pPr>
              <w:spacing w:line="240" w:lineRule="auto"/>
              <w:jc w:val="center"/>
              <w:rPr>
                <w:bCs/>
                <w:szCs w:val="21"/>
              </w:rPr>
            </w:pPr>
            <w:r>
              <w:rPr>
                <w:rFonts w:hint="eastAsia"/>
                <w:bCs/>
                <w:szCs w:val="21"/>
              </w:rPr>
              <w:t>1</w:t>
            </w:r>
          </w:p>
        </w:tc>
        <w:tc>
          <w:tcPr>
            <w:tcW w:w="1445" w:type="dxa"/>
            <w:vAlign w:val="center"/>
          </w:tcPr>
          <w:p>
            <w:pPr>
              <w:spacing w:line="240" w:lineRule="auto"/>
              <w:jc w:val="center"/>
              <w:rPr>
                <w:bCs/>
                <w:szCs w:val="21"/>
              </w:rPr>
            </w:pPr>
            <w:r>
              <w:rPr>
                <w:rFonts w:hint="eastAsia"/>
                <w:sz w:val="18"/>
                <w:szCs w:val="18"/>
              </w:rPr>
              <w:t>PLAN-2019-007059-000010</w:t>
            </w:r>
          </w:p>
        </w:tc>
        <w:tc>
          <w:tcPr>
            <w:tcW w:w="3382" w:type="dxa"/>
            <w:vAlign w:val="center"/>
          </w:tcPr>
          <w:p>
            <w:pPr>
              <w:spacing w:line="240" w:lineRule="auto"/>
              <w:jc w:val="center"/>
              <w:rPr>
                <w:sz w:val="18"/>
                <w:szCs w:val="18"/>
              </w:rPr>
            </w:pPr>
            <w:r>
              <w:rPr>
                <w:rFonts w:hint="eastAsia"/>
                <w:sz w:val="18"/>
                <w:szCs w:val="18"/>
              </w:rPr>
              <w:t>同心外国语学校二期电教平台采购</w:t>
            </w:r>
          </w:p>
        </w:tc>
        <w:tc>
          <w:tcPr>
            <w:tcW w:w="651" w:type="dxa"/>
            <w:vAlign w:val="center"/>
          </w:tcPr>
          <w:p>
            <w:pPr>
              <w:spacing w:line="240" w:lineRule="auto"/>
              <w:jc w:val="center"/>
              <w:rPr>
                <w:sz w:val="18"/>
                <w:szCs w:val="18"/>
              </w:rPr>
            </w:pPr>
            <w:r>
              <w:rPr>
                <w:rFonts w:hint="eastAsia"/>
                <w:sz w:val="18"/>
                <w:szCs w:val="18"/>
              </w:rPr>
              <w:t>1</w:t>
            </w:r>
          </w:p>
        </w:tc>
        <w:tc>
          <w:tcPr>
            <w:tcW w:w="649" w:type="dxa"/>
            <w:vAlign w:val="center"/>
          </w:tcPr>
          <w:p>
            <w:pPr>
              <w:spacing w:line="240" w:lineRule="auto"/>
              <w:jc w:val="center"/>
              <w:rPr>
                <w:sz w:val="18"/>
                <w:szCs w:val="18"/>
              </w:rPr>
            </w:pPr>
            <w:r>
              <w:rPr>
                <w:rFonts w:hint="eastAsia"/>
                <w:sz w:val="18"/>
                <w:szCs w:val="18"/>
              </w:rPr>
              <w:t>批</w:t>
            </w:r>
          </w:p>
        </w:tc>
        <w:tc>
          <w:tcPr>
            <w:tcW w:w="2022" w:type="dxa"/>
            <w:vAlign w:val="center"/>
          </w:tcPr>
          <w:p>
            <w:pPr>
              <w:spacing w:line="240" w:lineRule="auto"/>
              <w:jc w:val="center"/>
              <w:rPr>
                <w:sz w:val="18"/>
                <w:szCs w:val="18"/>
              </w:rPr>
            </w:pPr>
            <w:r>
              <w:rPr>
                <w:rFonts w:hint="eastAsia"/>
                <w:sz w:val="18"/>
                <w:szCs w:val="18"/>
              </w:rPr>
              <w:t>2,460,000.00</w:t>
            </w:r>
          </w:p>
        </w:tc>
        <w:tc>
          <w:tcPr>
            <w:tcW w:w="766" w:type="dxa"/>
            <w:vAlign w:val="center"/>
          </w:tcPr>
          <w:p>
            <w:pPr>
              <w:widowControl w:val="0"/>
              <w:shd w:val="clear" w:color="auto" w:fill="auto"/>
              <w:tabs>
                <w:tab w:val="clear" w:pos="426"/>
              </w:tabs>
              <w:adjustRightInd/>
              <w:snapToGrid/>
              <w:spacing w:line="240" w:lineRule="auto"/>
              <w:jc w:val="center"/>
              <w:rPr>
                <w:rFonts w:cs="Times New Roman"/>
                <w:szCs w:val="21"/>
              </w:rPr>
            </w:pPr>
          </w:p>
        </w:tc>
      </w:tr>
    </w:tbl>
    <w:p>
      <w:pPr>
        <w:widowControl w:val="0"/>
        <w:shd w:val="clear" w:color="auto" w:fill="auto"/>
        <w:tabs>
          <w:tab w:val="clear" w:pos="426"/>
        </w:tabs>
        <w:adjustRightInd/>
        <w:snapToGrid/>
        <w:spacing w:before="120" w:beforeLines="50" w:line="300" w:lineRule="auto"/>
        <w:ind w:firstLine="422" w:firstLineChars="200"/>
        <w:rPr>
          <w:rFonts w:cs="Times New Roman"/>
          <w:b/>
          <w:bCs/>
          <w:kern w:val="2"/>
          <w:szCs w:val="21"/>
        </w:rPr>
      </w:pPr>
      <w:r>
        <w:rPr>
          <w:rFonts w:hint="eastAsia" w:cs="Times New Roman"/>
          <w:b/>
          <w:bCs/>
          <w:kern w:val="2"/>
          <w:szCs w:val="21"/>
        </w:rPr>
        <w:t>（二）</w:t>
      </w:r>
      <w:r>
        <w:rPr>
          <w:rFonts w:cs="Times New Roman"/>
          <w:b/>
          <w:bCs/>
          <w:kern w:val="2"/>
          <w:szCs w:val="21"/>
        </w:rPr>
        <w:t>货物清单</w:t>
      </w:r>
      <w:r>
        <w:rPr>
          <w:rFonts w:hint="eastAsia" w:cs="Times New Roman"/>
          <w:b/>
          <w:bCs/>
          <w:kern w:val="2"/>
          <w:szCs w:val="21"/>
        </w:rPr>
        <w:t>明细</w:t>
      </w:r>
    </w:p>
    <w:tbl>
      <w:tblPr>
        <w:tblStyle w:val="44"/>
        <w:tblW w:w="9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3390"/>
        <w:gridCol w:w="2365"/>
        <w:gridCol w:w="992"/>
        <w:gridCol w:w="992"/>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jc w:val="center"/>
        </w:trPr>
        <w:tc>
          <w:tcPr>
            <w:tcW w:w="754" w:type="dxa"/>
            <w:shd w:val="clear" w:color="auto" w:fill="auto"/>
            <w:vAlign w:val="center"/>
          </w:tcPr>
          <w:p>
            <w:pPr>
              <w:jc w:val="left"/>
              <w:rPr>
                <w:rFonts w:asciiTheme="minorEastAsia" w:hAnsiTheme="minorEastAsia"/>
                <w:b/>
                <w:bCs/>
                <w:color w:val="000000"/>
                <w:szCs w:val="21"/>
              </w:rPr>
            </w:pPr>
            <w:r>
              <w:rPr>
                <w:rFonts w:hint="eastAsia" w:asciiTheme="minorEastAsia" w:hAnsiTheme="minorEastAsia"/>
                <w:b/>
                <w:bCs/>
                <w:color w:val="000000"/>
                <w:szCs w:val="21"/>
              </w:rPr>
              <w:t>序号</w:t>
            </w:r>
          </w:p>
        </w:tc>
        <w:tc>
          <w:tcPr>
            <w:tcW w:w="3390" w:type="dxa"/>
            <w:shd w:val="clear" w:color="auto" w:fill="auto"/>
            <w:vAlign w:val="center"/>
          </w:tcPr>
          <w:p>
            <w:pPr>
              <w:jc w:val="left"/>
              <w:rPr>
                <w:rFonts w:asciiTheme="minorEastAsia" w:hAnsiTheme="minorEastAsia"/>
                <w:b/>
                <w:bCs/>
                <w:color w:val="000000"/>
                <w:szCs w:val="21"/>
              </w:rPr>
            </w:pPr>
            <w:r>
              <w:rPr>
                <w:rFonts w:hint="eastAsia" w:asciiTheme="minorEastAsia" w:hAnsiTheme="minorEastAsia"/>
                <w:b/>
                <w:bCs/>
                <w:color w:val="000000"/>
                <w:szCs w:val="21"/>
              </w:rPr>
              <w:t>货物名称</w:t>
            </w:r>
          </w:p>
        </w:tc>
        <w:tc>
          <w:tcPr>
            <w:tcW w:w="2365" w:type="dxa"/>
            <w:shd w:val="clear" w:color="auto" w:fill="auto"/>
            <w:vAlign w:val="center"/>
          </w:tcPr>
          <w:p>
            <w:pPr>
              <w:jc w:val="left"/>
              <w:rPr>
                <w:rFonts w:asciiTheme="minorEastAsia" w:hAnsiTheme="minorEastAsia"/>
                <w:b/>
                <w:bCs/>
                <w:color w:val="000000"/>
                <w:szCs w:val="21"/>
              </w:rPr>
            </w:pPr>
            <w:r>
              <w:rPr>
                <w:rFonts w:hint="eastAsia" w:asciiTheme="minorEastAsia" w:hAnsiTheme="minorEastAsia"/>
                <w:b/>
                <w:bCs/>
                <w:color w:val="000000"/>
                <w:szCs w:val="21"/>
              </w:rPr>
              <w:t>配置要求（主要部件）</w:t>
            </w:r>
          </w:p>
        </w:tc>
        <w:tc>
          <w:tcPr>
            <w:tcW w:w="992" w:type="dxa"/>
            <w:shd w:val="clear" w:color="auto" w:fill="auto"/>
            <w:vAlign w:val="center"/>
          </w:tcPr>
          <w:p>
            <w:pPr>
              <w:jc w:val="left"/>
              <w:rPr>
                <w:rFonts w:asciiTheme="minorEastAsia" w:hAnsiTheme="minorEastAsia"/>
                <w:b/>
                <w:bCs/>
                <w:color w:val="000000"/>
                <w:szCs w:val="21"/>
              </w:rPr>
            </w:pPr>
            <w:r>
              <w:rPr>
                <w:rFonts w:hint="eastAsia" w:asciiTheme="minorEastAsia" w:hAnsiTheme="minorEastAsia"/>
                <w:b/>
                <w:bCs/>
                <w:color w:val="000000"/>
                <w:szCs w:val="21"/>
              </w:rPr>
              <w:t>数量</w:t>
            </w:r>
          </w:p>
        </w:tc>
        <w:tc>
          <w:tcPr>
            <w:tcW w:w="992" w:type="dxa"/>
            <w:shd w:val="clear" w:color="auto" w:fill="auto"/>
            <w:vAlign w:val="center"/>
          </w:tcPr>
          <w:p>
            <w:pPr>
              <w:jc w:val="left"/>
              <w:rPr>
                <w:rFonts w:asciiTheme="minorEastAsia" w:hAnsiTheme="minorEastAsia"/>
                <w:b/>
                <w:bCs/>
                <w:color w:val="000000"/>
                <w:szCs w:val="21"/>
              </w:rPr>
            </w:pPr>
            <w:r>
              <w:rPr>
                <w:rFonts w:hint="eastAsia" w:asciiTheme="minorEastAsia" w:hAnsiTheme="minorEastAsia"/>
                <w:b/>
                <w:bCs/>
                <w:color w:val="000000"/>
                <w:szCs w:val="21"/>
              </w:rPr>
              <w:t>单位</w:t>
            </w:r>
          </w:p>
        </w:tc>
        <w:tc>
          <w:tcPr>
            <w:tcW w:w="858" w:type="dxa"/>
            <w:vAlign w:val="center"/>
          </w:tcPr>
          <w:p>
            <w:pPr>
              <w:jc w:val="left"/>
              <w:rPr>
                <w:rFonts w:asciiTheme="minorEastAsia" w:hAnsiTheme="minorEastAsia"/>
                <w:b/>
                <w:bCs/>
                <w:color w:val="000000"/>
                <w:szCs w:val="21"/>
              </w:rPr>
            </w:pPr>
            <w:r>
              <w:rPr>
                <w:rFonts w:hint="eastAsia" w:asciiTheme="minorEastAsia" w:hAnsiTheme="minorEastAsia"/>
                <w:b/>
                <w:bCs/>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1</w:t>
            </w:r>
          </w:p>
        </w:tc>
        <w:tc>
          <w:tcPr>
            <w:tcW w:w="3390" w:type="dxa"/>
            <w:shd w:val="clear" w:color="auto" w:fill="auto"/>
            <w:vAlign w:val="center"/>
          </w:tcPr>
          <w:p>
            <w:pPr>
              <w:spacing w:line="240" w:lineRule="auto"/>
              <w:jc w:val="center"/>
              <w:rPr>
                <w:sz w:val="18"/>
                <w:szCs w:val="18"/>
              </w:rPr>
            </w:pPr>
            <w:r>
              <w:rPr>
                <w:rFonts w:hint="eastAsia"/>
                <w:sz w:val="18"/>
                <w:szCs w:val="18"/>
              </w:rPr>
              <w:t>交互式液晶一体机</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50</w:t>
            </w:r>
          </w:p>
        </w:tc>
        <w:tc>
          <w:tcPr>
            <w:tcW w:w="992" w:type="dxa"/>
            <w:shd w:val="clear" w:color="auto" w:fill="auto"/>
            <w:vAlign w:val="center"/>
          </w:tcPr>
          <w:p>
            <w:pPr>
              <w:spacing w:line="240" w:lineRule="auto"/>
              <w:jc w:val="center"/>
              <w:rPr>
                <w:sz w:val="18"/>
                <w:szCs w:val="18"/>
              </w:rPr>
            </w:pPr>
            <w:r>
              <w:rPr>
                <w:rFonts w:hint="eastAsia"/>
                <w:sz w:val="18"/>
                <w:szCs w:val="18"/>
              </w:rPr>
              <w:t>台</w:t>
            </w:r>
          </w:p>
        </w:tc>
        <w:tc>
          <w:tcPr>
            <w:tcW w:w="858" w:type="dxa"/>
          </w:tcPr>
          <w:p>
            <w:pPr>
              <w:jc w:val="left"/>
              <w:rPr>
                <w:rFonts w:asciiTheme="minorEastAsia" w:hAnsiTheme="minorEastAsia"/>
                <w:color w:val="000000"/>
                <w:szCs w:val="21"/>
              </w:rPr>
            </w:pPr>
            <w:r>
              <w:rPr>
                <w:rFonts w:hint="eastAsia"/>
                <w:sz w:val="18"/>
                <w:szCs w:val="18"/>
              </w:rPr>
              <w:t>核心产品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2</w:t>
            </w:r>
          </w:p>
        </w:tc>
        <w:tc>
          <w:tcPr>
            <w:tcW w:w="3390" w:type="dxa"/>
            <w:shd w:val="clear" w:color="auto" w:fill="auto"/>
            <w:vAlign w:val="center"/>
          </w:tcPr>
          <w:p>
            <w:pPr>
              <w:spacing w:line="240" w:lineRule="auto"/>
              <w:jc w:val="center"/>
              <w:rPr>
                <w:sz w:val="18"/>
                <w:szCs w:val="18"/>
              </w:rPr>
            </w:pPr>
            <w:r>
              <w:rPr>
                <w:rFonts w:hint="eastAsia"/>
                <w:sz w:val="18"/>
                <w:szCs w:val="18"/>
              </w:rPr>
              <w:t>激光超短焦投影</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3</w:t>
            </w:r>
          </w:p>
        </w:tc>
        <w:tc>
          <w:tcPr>
            <w:tcW w:w="992" w:type="dxa"/>
            <w:shd w:val="clear" w:color="auto" w:fill="auto"/>
            <w:vAlign w:val="center"/>
          </w:tcPr>
          <w:p>
            <w:pPr>
              <w:spacing w:line="240" w:lineRule="auto"/>
              <w:jc w:val="center"/>
              <w:rPr>
                <w:sz w:val="18"/>
                <w:szCs w:val="18"/>
              </w:rPr>
            </w:pPr>
            <w:r>
              <w:rPr>
                <w:rFonts w:hint="eastAsia"/>
                <w:sz w:val="18"/>
                <w:szCs w:val="18"/>
              </w:rPr>
              <w:t>台</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3</w:t>
            </w:r>
          </w:p>
        </w:tc>
        <w:tc>
          <w:tcPr>
            <w:tcW w:w="3390" w:type="dxa"/>
            <w:shd w:val="clear" w:color="auto" w:fill="auto"/>
            <w:vAlign w:val="center"/>
          </w:tcPr>
          <w:p>
            <w:pPr>
              <w:spacing w:line="240" w:lineRule="auto"/>
              <w:jc w:val="center"/>
              <w:rPr>
                <w:sz w:val="18"/>
                <w:szCs w:val="18"/>
              </w:rPr>
            </w:pPr>
            <w:r>
              <w:rPr>
                <w:rFonts w:hint="eastAsia"/>
                <w:sz w:val="18"/>
                <w:szCs w:val="18"/>
              </w:rPr>
              <w:t>电子白板</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3</w:t>
            </w:r>
          </w:p>
        </w:tc>
        <w:tc>
          <w:tcPr>
            <w:tcW w:w="992" w:type="dxa"/>
            <w:shd w:val="clear" w:color="auto" w:fill="auto"/>
            <w:vAlign w:val="center"/>
          </w:tcPr>
          <w:p>
            <w:pPr>
              <w:spacing w:line="240" w:lineRule="auto"/>
              <w:jc w:val="center"/>
              <w:rPr>
                <w:sz w:val="18"/>
                <w:szCs w:val="18"/>
              </w:rPr>
            </w:pPr>
            <w:r>
              <w:rPr>
                <w:rFonts w:hint="eastAsia"/>
                <w:sz w:val="18"/>
                <w:szCs w:val="18"/>
              </w:rPr>
              <w:t>套</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4</w:t>
            </w:r>
          </w:p>
        </w:tc>
        <w:tc>
          <w:tcPr>
            <w:tcW w:w="3390" w:type="dxa"/>
            <w:shd w:val="clear" w:color="auto" w:fill="auto"/>
            <w:vAlign w:val="center"/>
          </w:tcPr>
          <w:p>
            <w:pPr>
              <w:spacing w:line="240" w:lineRule="auto"/>
              <w:jc w:val="center"/>
              <w:rPr>
                <w:sz w:val="18"/>
                <w:szCs w:val="18"/>
              </w:rPr>
            </w:pPr>
            <w:r>
              <w:rPr>
                <w:rFonts w:hint="eastAsia"/>
                <w:sz w:val="18"/>
                <w:szCs w:val="18"/>
              </w:rPr>
              <w:t>万向黑板</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48</w:t>
            </w:r>
          </w:p>
        </w:tc>
        <w:tc>
          <w:tcPr>
            <w:tcW w:w="992" w:type="dxa"/>
            <w:shd w:val="clear" w:color="auto" w:fill="auto"/>
            <w:vAlign w:val="center"/>
          </w:tcPr>
          <w:p>
            <w:pPr>
              <w:spacing w:line="240" w:lineRule="auto"/>
              <w:jc w:val="center"/>
              <w:rPr>
                <w:sz w:val="18"/>
                <w:szCs w:val="18"/>
              </w:rPr>
            </w:pPr>
            <w:r>
              <w:rPr>
                <w:rFonts w:hint="eastAsia"/>
                <w:sz w:val="18"/>
                <w:szCs w:val="18"/>
              </w:rPr>
              <w:t>套</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5</w:t>
            </w:r>
          </w:p>
        </w:tc>
        <w:tc>
          <w:tcPr>
            <w:tcW w:w="3390" w:type="dxa"/>
            <w:shd w:val="clear" w:color="auto" w:fill="auto"/>
            <w:vAlign w:val="center"/>
          </w:tcPr>
          <w:p>
            <w:pPr>
              <w:spacing w:line="240" w:lineRule="auto"/>
              <w:jc w:val="center"/>
              <w:rPr>
                <w:sz w:val="18"/>
                <w:szCs w:val="18"/>
              </w:rPr>
            </w:pPr>
            <w:r>
              <w:rPr>
                <w:rFonts w:hint="eastAsia"/>
                <w:sz w:val="18"/>
                <w:szCs w:val="18"/>
              </w:rPr>
              <w:t>智能融合信息终端</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25</w:t>
            </w:r>
          </w:p>
        </w:tc>
        <w:tc>
          <w:tcPr>
            <w:tcW w:w="992" w:type="dxa"/>
            <w:shd w:val="clear" w:color="auto" w:fill="auto"/>
            <w:vAlign w:val="center"/>
          </w:tcPr>
          <w:p>
            <w:pPr>
              <w:spacing w:line="240" w:lineRule="auto"/>
              <w:jc w:val="center"/>
              <w:rPr>
                <w:sz w:val="18"/>
                <w:szCs w:val="18"/>
              </w:rPr>
            </w:pPr>
            <w:r>
              <w:rPr>
                <w:rFonts w:hint="eastAsia"/>
                <w:sz w:val="18"/>
                <w:szCs w:val="18"/>
              </w:rPr>
              <w:t>套</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6</w:t>
            </w:r>
          </w:p>
        </w:tc>
        <w:tc>
          <w:tcPr>
            <w:tcW w:w="3390" w:type="dxa"/>
            <w:shd w:val="clear" w:color="auto" w:fill="auto"/>
            <w:vAlign w:val="center"/>
          </w:tcPr>
          <w:p>
            <w:pPr>
              <w:spacing w:line="240" w:lineRule="auto"/>
              <w:jc w:val="center"/>
              <w:rPr>
                <w:sz w:val="18"/>
                <w:szCs w:val="18"/>
              </w:rPr>
            </w:pPr>
            <w:r>
              <w:rPr>
                <w:rFonts w:hint="eastAsia"/>
                <w:sz w:val="18"/>
                <w:szCs w:val="18"/>
              </w:rPr>
              <w:t>IP对讲触控面板</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25</w:t>
            </w:r>
          </w:p>
        </w:tc>
        <w:tc>
          <w:tcPr>
            <w:tcW w:w="992" w:type="dxa"/>
            <w:shd w:val="clear" w:color="auto" w:fill="auto"/>
            <w:vAlign w:val="center"/>
          </w:tcPr>
          <w:p>
            <w:pPr>
              <w:spacing w:line="240" w:lineRule="auto"/>
              <w:jc w:val="center"/>
              <w:rPr>
                <w:sz w:val="18"/>
                <w:szCs w:val="18"/>
              </w:rPr>
            </w:pPr>
            <w:r>
              <w:rPr>
                <w:rFonts w:hint="eastAsia"/>
                <w:sz w:val="18"/>
                <w:szCs w:val="18"/>
              </w:rPr>
              <w:t>套</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7</w:t>
            </w:r>
          </w:p>
        </w:tc>
        <w:tc>
          <w:tcPr>
            <w:tcW w:w="3390" w:type="dxa"/>
            <w:shd w:val="clear" w:color="auto" w:fill="auto"/>
            <w:vAlign w:val="center"/>
          </w:tcPr>
          <w:p>
            <w:pPr>
              <w:spacing w:line="240" w:lineRule="auto"/>
              <w:jc w:val="center"/>
              <w:rPr>
                <w:sz w:val="18"/>
                <w:szCs w:val="18"/>
              </w:rPr>
            </w:pPr>
            <w:r>
              <w:rPr>
                <w:rFonts w:hint="eastAsia"/>
                <w:sz w:val="18"/>
                <w:szCs w:val="18"/>
              </w:rPr>
              <w:t>高清音箱</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50</w:t>
            </w:r>
          </w:p>
        </w:tc>
        <w:tc>
          <w:tcPr>
            <w:tcW w:w="992" w:type="dxa"/>
            <w:shd w:val="clear" w:color="auto" w:fill="auto"/>
            <w:vAlign w:val="center"/>
          </w:tcPr>
          <w:p>
            <w:pPr>
              <w:spacing w:line="240" w:lineRule="auto"/>
              <w:jc w:val="center"/>
              <w:rPr>
                <w:sz w:val="18"/>
                <w:szCs w:val="18"/>
              </w:rPr>
            </w:pPr>
            <w:r>
              <w:rPr>
                <w:rFonts w:hint="eastAsia"/>
                <w:sz w:val="18"/>
                <w:szCs w:val="18"/>
              </w:rPr>
              <w:t>对</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8</w:t>
            </w:r>
          </w:p>
        </w:tc>
        <w:tc>
          <w:tcPr>
            <w:tcW w:w="3390" w:type="dxa"/>
            <w:shd w:val="clear" w:color="auto" w:fill="auto"/>
            <w:vAlign w:val="center"/>
          </w:tcPr>
          <w:p>
            <w:pPr>
              <w:spacing w:line="240" w:lineRule="auto"/>
              <w:jc w:val="center"/>
              <w:rPr>
                <w:sz w:val="18"/>
                <w:szCs w:val="18"/>
              </w:rPr>
            </w:pPr>
            <w:r>
              <w:rPr>
                <w:rFonts w:hint="eastAsia"/>
                <w:sz w:val="18"/>
                <w:szCs w:val="18"/>
              </w:rPr>
              <w:t>2.4G无线麦克风</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70</w:t>
            </w:r>
          </w:p>
        </w:tc>
        <w:tc>
          <w:tcPr>
            <w:tcW w:w="992" w:type="dxa"/>
            <w:shd w:val="clear" w:color="auto" w:fill="auto"/>
            <w:vAlign w:val="center"/>
          </w:tcPr>
          <w:p>
            <w:pPr>
              <w:spacing w:line="240" w:lineRule="auto"/>
              <w:jc w:val="center"/>
              <w:rPr>
                <w:sz w:val="18"/>
                <w:szCs w:val="18"/>
              </w:rPr>
            </w:pPr>
            <w:r>
              <w:rPr>
                <w:rFonts w:hint="eastAsia"/>
                <w:sz w:val="18"/>
                <w:szCs w:val="18"/>
              </w:rPr>
              <w:t>套</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9</w:t>
            </w:r>
          </w:p>
        </w:tc>
        <w:tc>
          <w:tcPr>
            <w:tcW w:w="3390" w:type="dxa"/>
            <w:shd w:val="clear" w:color="auto" w:fill="auto"/>
            <w:vAlign w:val="center"/>
          </w:tcPr>
          <w:p>
            <w:pPr>
              <w:spacing w:line="240" w:lineRule="auto"/>
              <w:jc w:val="center"/>
              <w:rPr>
                <w:sz w:val="18"/>
                <w:szCs w:val="18"/>
              </w:rPr>
            </w:pPr>
            <w:r>
              <w:rPr>
                <w:rFonts w:hint="eastAsia"/>
                <w:sz w:val="18"/>
                <w:szCs w:val="18"/>
              </w:rPr>
              <w:t>一体机移动支架</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5</w:t>
            </w:r>
          </w:p>
        </w:tc>
        <w:tc>
          <w:tcPr>
            <w:tcW w:w="992" w:type="dxa"/>
            <w:shd w:val="clear" w:color="auto" w:fill="auto"/>
            <w:vAlign w:val="center"/>
          </w:tcPr>
          <w:p>
            <w:pPr>
              <w:spacing w:line="240" w:lineRule="auto"/>
              <w:jc w:val="center"/>
              <w:rPr>
                <w:sz w:val="18"/>
                <w:szCs w:val="18"/>
              </w:rPr>
            </w:pPr>
            <w:r>
              <w:rPr>
                <w:rFonts w:hint="eastAsia"/>
                <w:sz w:val="18"/>
                <w:szCs w:val="18"/>
              </w:rPr>
              <w:t>套</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10</w:t>
            </w:r>
          </w:p>
        </w:tc>
        <w:tc>
          <w:tcPr>
            <w:tcW w:w="3390" w:type="dxa"/>
            <w:shd w:val="clear" w:color="auto" w:fill="auto"/>
            <w:vAlign w:val="center"/>
          </w:tcPr>
          <w:p>
            <w:pPr>
              <w:spacing w:line="240" w:lineRule="auto"/>
              <w:jc w:val="center"/>
              <w:rPr>
                <w:sz w:val="18"/>
                <w:szCs w:val="18"/>
              </w:rPr>
            </w:pPr>
            <w:r>
              <w:rPr>
                <w:rFonts w:hint="eastAsia"/>
                <w:sz w:val="18"/>
                <w:szCs w:val="18"/>
              </w:rPr>
              <w:t>移动翻转黑板</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1</w:t>
            </w:r>
          </w:p>
        </w:tc>
        <w:tc>
          <w:tcPr>
            <w:tcW w:w="992" w:type="dxa"/>
            <w:shd w:val="clear" w:color="auto" w:fill="auto"/>
            <w:vAlign w:val="center"/>
          </w:tcPr>
          <w:p>
            <w:pPr>
              <w:spacing w:line="240" w:lineRule="auto"/>
              <w:jc w:val="center"/>
              <w:rPr>
                <w:sz w:val="18"/>
                <w:szCs w:val="18"/>
              </w:rPr>
            </w:pPr>
            <w:r>
              <w:rPr>
                <w:rFonts w:hint="eastAsia"/>
                <w:sz w:val="18"/>
                <w:szCs w:val="18"/>
              </w:rPr>
              <w:t>套</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11</w:t>
            </w:r>
          </w:p>
        </w:tc>
        <w:tc>
          <w:tcPr>
            <w:tcW w:w="3390" w:type="dxa"/>
            <w:shd w:val="clear" w:color="auto" w:fill="auto"/>
            <w:vAlign w:val="center"/>
          </w:tcPr>
          <w:p>
            <w:pPr>
              <w:spacing w:line="240" w:lineRule="auto"/>
              <w:jc w:val="center"/>
              <w:rPr>
                <w:sz w:val="18"/>
                <w:szCs w:val="18"/>
              </w:rPr>
            </w:pPr>
            <w:r>
              <w:rPr>
                <w:rFonts w:hint="eastAsia"/>
                <w:sz w:val="18"/>
                <w:szCs w:val="18"/>
              </w:rPr>
              <w:t>高保真全频线性阵列音柱（主扩声）</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12</w:t>
            </w:r>
          </w:p>
        </w:tc>
        <w:tc>
          <w:tcPr>
            <w:tcW w:w="992" w:type="dxa"/>
            <w:shd w:val="clear" w:color="auto" w:fill="auto"/>
            <w:vAlign w:val="center"/>
          </w:tcPr>
          <w:p>
            <w:pPr>
              <w:spacing w:line="240" w:lineRule="auto"/>
              <w:jc w:val="center"/>
              <w:rPr>
                <w:sz w:val="18"/>
                <w:szCs w:val="18"/>
              </w:rPr>
            </w:pPr>
            <w:r>
              <w:rPr>
                <w:rFonts w:hint="eastAsia"/>
                <w:sz w:val="18"/>
                <w:szCs w:val="18"/>
              </w:rPr>
              <w:t>只</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12</w:t>
            </w:r>
          </w:p>
        </w:tc>
        <w:tc>
          <w:tcPr>
            <w:tcW w:w="3390" w:type="dxa"/>
            <w:shd w:val="clear" w:color="auto" w:fill="auto"/>
            <w:vAlign w:val="center"/>
          </w:tcPr>
          <w:p>
            <w:pPr>
              <w:spacing w:line="240" w:lineRule="auto"/>
              <w:jc w:val="center"/>
              <w:rPr>
                <w:sz w:val="18"/>
                <w:szCs w:val="18"/>
              </w:rPr>
            </w:pPr>
            <w:r>
              <w:rPr>
                <w:rFonts w:hint="eastAsia"/>
                <w:sz w:val="18"/>
                <w:szCs w:val="18"/>
              </w:rPr>
              <w:t>主扩声音箱功率放大器</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3</w:t>
            </w:r>
          </w:p>
        </w:tc>
        <w:tc>
          <w:tcPr>
            <w:tcW w:w="992" w:type="dxa"/>
            <w:shd w:val="clear" w:color="auto" w:fill="auto"/>
            <w:vAlign w:val="center"/>
          </w:tcPr>
          <w:p>
            <w:pPr>
              <w:spacing w:line="240" w:lineRule="auto"/>
              <w:jc w:val="center"/>
              <w:rPr>
                <w:sz w:val="18"/>
                <w:szCs w:val="18"/>
              </w:rPr>
            </w:pPr>
            <w:r>
              <w:rPr>
                <w:rFonts w:hint="eastAsia"/>
                <w:sz w:val="18"/>
                <w:szCs w:val="18"/>
              </w:rPr>
              <w:t>台</w:t>
            </w:r>
          </w:p>
        </w:tc>
        <w:tc>
          <w:tcPr>
            <w:tcW w:w="858" w:type="dxa"/>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54" w:type="dxa"/>
            <w:shd w:val="clear" w:color="auto" w:fill="auto"/>
            <w:vAlign w:val="center"/>
          </w:tcPr>
          <w:p>
            <w:pPr>
              <w:spacing w:line="240" w:lineRule="auto"/>
              <w:jc w:val="center"/>
              <w:rPr>
                <w:sz w:val="18"/>
                <w:szCs w:val="18"/>
              </w:rPr>
            </w:pPr>
            <w:r>
              <w:rPr>
                <w:rFonts w:hint="eastAsia"/>
                <w:sz w:val="18"/>
                <w:szCs w:val="18"/>
              </w:rPr>
              <w:t>13</w:t>
            </w:r>
          </w:p>
        </w:tc>
        <w:tc>
          <w:tcPr>
            <w:tcW w:w="3390" w:type="dxa"/>
            <w:shd w:val="clear" w:color="auto" w:fill="auto"/>
            <w:vAlign w:val="center"/>
          </w:tcPr>
          <w:p>
            <w:pPr>
              <w:spacing w:line="240" w:lineRule="auto"/>
              <w:jc w:val="center"/>
              <w:rPr>
                <w:sz w:val="18"/>
                <w:szCs w:val="18"/>
              </w:rPr>
            </w:pPr>
            <w:r>
              <w:rPr>
                <w:rFonts w:hint="eastAsia"/>
                <w:sz w:val="18"/>
                <w:szCs w:val="18"/>
              </w:rPr>
              <w:t>系统集成</w:t>
            </w:r>
          </w:p>
        </w:tc>
        <w:tc>
          <w:tcPr>
            <w:tcW w:w="2365" w:type="dxa"/>
            <w:shd w:val="clear" w:color="auto" w:fill="auto"/>
            <w:vAlign w:val="center"/>
          </w:tcPr>
          <w:p>
            <w:pPr>
              <w:spacing w:line="240" w:lineRule="auto"/>
              <w:jc w:val="center"/>
              <w:rPr>
                <w:sz w:val="18"/>
                <w:szCs w:val="18"/>
              </w:rPr>
            </w:pPr>
            <w:r>
              <w:rPr>
                <w:rFonts w:hint="eastAsia"/>
                <w:sz w:val="18"/>
                <w:szCs w:val="18"/>
              </w:rPr>
              <w:t>详见具体技术要求</w:t>
            </w:r>
          </w:p>
        </w:tc>
        <w:tc>
          <w:tcPr>
            <w:tcW w:w="992" w:type="dxa"/>
            <w:shd w:val="clear" w:color="auto" w:fill="auto"/>
            <w:vAlign w:val="center"/>
          </w:tcPr>
          <w:p>
            <w:pPr>
              <w:spacing w:line="240" w:lineRule="auto"/>
              <w:jc w:val="center"/>
              <w:rPr>
                <w:sz w:val="18"/>
                <w:szCs w:val="18"/>
              </w:rPr>
            </w:pPr>
            <w:r>
              <w:rPr>
                <w:rFonts w:hint="eastAsia"/>
                <w:sz w:val="18"/>
                <w:szCs w:val="18"/>
              </w:rPr>
              <w:t>53</w:t>
            </w:r>
          </w:p>
        </w:tc>
        <w:tc>
          <w:tcPr>
            <w:tcW w:w="992" w:type="dxa"/>
            <w:shd w:val="clear" w:color="auto" w:fill="auto"/>
            <w:vAlign w:val="center"/>
          </w:tcPr>
          <w:p>
            <w:pPr>
              <w:spacing w:line="240" w:lineRule="auto"/>
              <w:jc w:val="center"/>
              <w:rPr>
                <w:sz w:val="18"/>
                <w:szCs w:val="18"/>
              </w:rPr>
            </w:pPr>
            <w:r>
              <w:rPr>
                <w:rFonts w:hint="eastAsia"/>
                <w:sz w:val="18"/>
                <w:szCs w:val="18"/>
              </w:rPr>
              <w:t>项</w:t>
            </w:r>
          </w:p>
        </w:tc>
        <w:tc>
          <w:tcPr>
            <w:tcW w:w="858" w:type="dxa"/>
          </w:tcPr>
          <w:p>
            <w:pPr>
              <w:jc w:val="left"/>
              <w:rPr>
                <w:rFonts w:asciiTheme="minorEastAsia" w:hAnsiTheme="minorEastAsia"/>
                <w:color w:val="000000"/>
                <w:szCs w:val="21"/>
              </w:rPr>
            </w:pPr>
          </w:p>
        </w:tc>
      </w:tr>
    </w:tbl>
    <w:p>
      <w:pPr>
        <w:widowControl w:val="0"/>
        <w:shd w:val="clear" w:color="auto" w:fill="auto"/>
        <w:tabs>
          <w:tab w:val="clear" w:pos="426"/>
        </w:tabs>
        <w:adjustRightInd/>
        <w:snapToGrid/>
        <w:spacing w:line="240" w:lineRule="auto"/>
        <w:rPr>
          <w:rFonts w:cs="Times New Roman"/>
          <w:bCs/>
          <w:kern w:val="2"/>
          <w:szCs w:val="21"/>
        </w:rPr>
      </w:pPr>
    </w:p>
    <w:p>
      <w:pPr>
        <w:widowControl w:val="0"/>
        <w:shd w:val="clear" w:color="auto" w:fill="auto"/>
        <w:tabs>
          <w:tab w:val="clear" w:pos="426"/>
        </w:tabs>
        <w:adjustRightInd/>
        <w:snapToGrid/>
        <w:spacing w:line="240" w:lineRule="auto"/>
        <w:ind w:firstLine="420" w:firstLineChars="200"/>
        <w:rPr>
          <w:rFonts w:cs="Times New Roman"/>
          <w:bCs/>
          <w:kern w:val="2"/>
          <w:szCs w:val="21"/>
        </w:rPr>
      </w:pPr>
      <w:r>
        <w:rPr>
          <w:rFonts w:hint="eastAsia" w:cs="Times New Roman"/>
          <w:bCs/>
          <w:kern w:val="2"/>
          <w:szCs w:val="21"/>
        </w:rPr>
        <w:t>备注：</w:t>
      </w:r>
    </w:p>
    <w:p>
      <w:pPr>
        <w:widowControl w:val="0"/>
        <w:shd w:val="clear" w:color="auto" w:fill="auto"/>
        <w:tabs>
          <w:tab w:val="clear" w:pos="426"/>
        </w:tabs>
        <w:adjustRightInd/>
        <w:snapToGrid/>
        <w:spacing w:line="240" w:lineRule="auto"/>
        <w:ind w:firstLine="420" w:firstLineChars="200"/>
        <w:rPr>
          <w:rFonts w:cs="Times New Roman"/>
          <w:bCs/>
          <w:kern w:val="2"/>
          <w:szCs w:val="21"/>
        </w:rPr>
      </w:pPr>
      <w:r>
        <w:rPr>
          <w:rFonts w:hint="eastAsia" w:cs="Times New Roman"/>
          <w:bCs/>
          <w:kern w:val="2"/>
          <w:szCs w:val="21"/>
        </w:rPr>
        <w:t>1.注明“接受进口”的产品（产品名称）允许供应商选用进口产品参与投标，但不排斥国内产品。</w:t>
      </w:r>
    </w:p>
    <w:p>
      <w:pPr>
        <w:widowControl w:val="0"/>
        <w:shd w:val="clear" w:color="auto" w:fill="auto"/>
        <w:tabs>
          <w:tab w:val="clear" w:pos="426"/>
        </w:tabs>
        <w:adjustRightInd/>
        <w:snapToGrid/>
        <w:spacing w:line="240" w:lineRule="auto"/>
        <w:ind w:firstLine="420" w:firstLineChars="200"/>
        <w:rPr>
          <w:rFonts w:cs="Times New Roman"/>
          <w:bCs/>
          <w:kern w:val="2"/>
          <w:szCs w:val="21"/>
        </w:rPr>
      </w:pPr>
      <w:r>
        <w:rPr>
          <w:rFonts w:hint="eastAsia" w:cs="Times New Roman"/>
          <w:bCs/>
          <w:kern w:val="2"/>
          <w:szCs w:val="21"/>
        </w:rPr>
        <w:t>2.未注明“接受进口”的产品（产品名称）均不接受供应商选用进口产品参与投标。</w:t>
      </w:r>
    </w:p>
    <w:p>
      <w:pPr>
        <w:widowControl w:val="0"/>
        <w:shd w:val="clear" w:color="auto" w:fill="auto"/>
        <w:tabs>
          <w:tab w:val="clear" w:pos="426"/>
        </w:tabs>
        <w:adjustRightInd/>
        <w:snapToGrid/>
        <w:spacing w:line="240" w:lineRule="auto"/>
        <w:ind w:firstLine="420" w:firstLineChars="200"/>
        <w:rPr>
          <w:rFonts w:cs="Times New Roman"/>
          <w:bCs/>
          <w:kern w:val="2"/>
          <w:szCs w:val="21"/>
        </w:rPr>
      </w:pPr>
      <w:r>
        <w:rPr>
          <w:rFonts w:hint="eastAsia" w:cs="Times New Roman"/>
          <w:bCs/>
          <w:kern w:val="2"/>
          <w:szCs w:val="21"/>
          <w:highlight w:val="yellow"/>
        </w:rPr>
        <w:t>3.进口产品系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w:t>
      </w:r>
      <w:r>
        <w:rPr>
          <w:rFonts w:cs="Times New Roman"/>
          <w:bCs/>
          <w:kern w:val="2"/>
          <w:szCs w:val="21"/>
          <w:highlight w:val="yellow"/>
        </w:rPr>
        <w:t>2007〕119 号文和财办库〔2008〕248 号文的相关规定为准。</w:t>
      </w:r>
    </w:p>
    <w:p>
      <w:pPr>
        <w:widowControl w:val="0"/>
        <w:shd w:val="clear" w:color="auto" w:fill="auto"/>
        <w:tabs>
          <w:tab w:val="clear" w:pos="426"/>
        </w:tabs>
        <w:adjustRightInd/>
        <w:snapToGrid/>
        <w:spacing w:line="240" w:lineRule="auto"/>
        <w:ind w:firstLine="420" w:firstLineChars="200"/>
        <w:rPr>
          <w:rFonts w:cs="Times New Roman"/>
          <w:bCs/>
          <w:kern w:val="2"/>
          <w:szCs w:val="21"/>
        </w:rPr>
      </w:pPr>
      <w:r>
        <w:rPr>
          <w:rFonts w:hint="eastAsia" w:cs="Times New Roman"/>
          <w:bCs/>
          <w:kern w:val="2"/>
          <w:szCs w:val="21"/>
        </w:rPr>
        <w:t>4.本项目的核心产品详见货物清单一览表。当多家投标人提供的核心产品品牌相同的，按一家投标人计算。根据《政府采购货物和服务招标投标管理办法》（中华人民共和国财政部令第</w:t>
      </w:r>
      <w:r>
        <w:rPr>
          <w:rFonts w:cs="Times New Roman"/>
          <w:bCs/>
          <w:kern w:val="2"/>
          <w:szCs w:val="21"/>
        </w:rPr>
        <w:t>87号）第三十一条相关规定：非单一产品采购项目，采购人应当根据采购项目技术构成、产品价格比重等合理确定核心产品，提供核心产品为相同品牌且通过资格审查、符合性审查的不同投标人，按一家投标人计算，评审后得分最高的同品牌投标人获得中标人推荐资格；评审得分相同的，采取随机抽取方式确定中标人推荐资格。其他综合评分总分次之的不同品牌投标人顺推获得中标人推荐资</w:t>
      </w:r>
      <w:r>
        <w:rPr>
          <w:rFonts w:hint="eastAsia" w:cs="Times New Roman"/>
          <w:bCs/>
          <w:kern w:val="2"/>
          <w:szCs w:val="21"/>
        </w:rPr>
        <w:t>格。</w:t>
      </w:r>
    </w:p>
    <w:p>
      <w:pPr>
        <w:numPr>
          <w:ilvl w:val="0"/>
          <w:numId w:val="32"/>
        </w:numPr>
        <w:adjustRightInd/>
        <w:snapToGrid/>
        <w:spacing w:before="280" w:after="290" w:line="377" w:lineRule="auto"/>
        <w:jc w:val="left"/>
        <w:outlineLvl w:val="2"/>
        <w:rPr>
          <w:b/>
          <w:sz w:val="24"/>
        </w:rPr>
      </w:pPr>
      <w:r>
        <w:rPr>
          <w:rFonts w:hint="eastAsia"/>
          <w:b/>
          <w:sz w:val="24"/>
        </w:rPr>
        <w:t>实质性响应条款</w:t>
      </w:r>
    </w:p>
    <w:p>
      <w:pPr>
        <w:rPr>
          <w:b/>
          <w:szCs w:val="21"/>
        </w:rPr>
      </w:pPr>
      <w:r>
        <w:rPr>
          <w:rFonts w:hint="eastAsia"/>
          <w:b/>
          <w:szCs w:val="21"/>
        </w:rPr>
        <w:t>说明：1.</w:t>
      </w:r>
      <w:r>
        <w:rPr>
          <w:b/>
          <w:szCs w:val="21"/>
        </w:rPr>
        <w:t>本表系招标文件涉及的所有实质性条款的汇总，不需要单独列表响应。请各位投标人仔细核对：确保投标文件已按照招标文件要求，在招标文件规定的投标文件格式中的对应节点进行逐一响应，不允许有任何负偏离，否则将作投标无效处理</w:t>
      </w:r>
      <w:r>
        <w:rPr>
          <w:rFonts w:hint="eastAsia"/>
          <w:b/>
          <w:szCs w:val="21"/>
        </w:rPr>
        <w:t>。</w:t>
      </w:r>
    </w:p>
    <w:p>
      <w:pPr>
        <w:rPr>
          <w:b/>
          <w:szCs w:val="21"/>
        </w:rPr>
      </w:pPr>
      <w:r>
        <w:rPr>
          <w:rFonts w:hint="eastAsia"/>
          <w:b/>
          <w:szCs w:val="21"/>
        </w:rPr>
        <w:t>2.开标一览表中填写的“交货期”必须与本表的“交货期”一致。如不一致，以开标一览表填写的“交货期”为准。如开标一览表</w:t>
      </w:r>
      <w:r>
        <w:rPr>
          <w:rFonts w:hint="eastAsia"/>
          <w:b/>
        </w:rPr>
        <w:t>载明的交货期超过招标文件规定的期限，根据《符合性审查表》要求作无效标处理。</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2239"/>
        <w:gridCol w:w="6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019" w:type="dxa"/>
            <w:vAlign w:val="center"/>
          </w:tcPr>
          <w:p>
            <w:pPr>
              <w:spacing w:line="240" w:lineRule="auto"/>
              <w:jc w:val="center"/>
              <w:rPr>
                <w:szCs w:val="21"/>
              </w:rPr>
            </w:pPr>
            <w:r>
              <w:rPr>
                <w:rFonts w:hint="eastAsia"/>
                <w:szCs w:val="21"/>
              </w:rPr>
              <w:t>序号</w:t>
            </w:r>
          </w:p>
        </w:tc>
        <w:tc>
          <w:tcPr>
            <w:tcW w:w="2239" w:type="dxa"/>
            <w:vAlign w:val="center"/>
          </w:tcPr>
          <w:p>
            <w:pPr>
              <w:spacing w:line="240" w:lineRule="auto"/>
              <w:jc w:val="center"/>
              <w:rPr>
                <w:szCs w:val="21"/>
              </w:rPr>
            </w:pPr>
            <w:r>
              <w:rPr>
                <w:rFonts w:hint="eastAsia"/>
                <w:szCs w:val="21"/>
              </w:rPr>
              <w:t>目录</w:t>
            </w:r>
          </w:p>
        </w:tc>
        <w:tc>
          <w:tcPr>
            <w:tcW w:w="6312" w:type="dxa"/>
            <w:vAlign w:val="center"/>
          </w:tcPr>
          <w:p>
            <w:pPr>
              <w:spacing w:line="240" w:lineRule="auto"/>
              <w:jc w:val="center"/>
              <w:rPr>
                <w:szCs w:val="21"/>
              </w:rPr>
            </w:pPr>
            <w:r>
              <w:rPr>
                <w:rFonts w:hint="eastAsia"/>
                <w:szCs w:val="21"/>
              </w:rPr>
              <w:t>实质性响应条款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019" w:type="dxa"/>
            <w:vAlign w:val="center"/>
          </w:tcPr>
          <w:p>
            <w:pPr>
              <w:spacing w:line="240" w:lineRule="auto"/>
              <w:jc w:val="center"/>
              <w:rPr>
                <w:szCs w:val="21"/>
              </w:rPr>
            </w:pPr>
            <w:r>
              <w:rPr>
                <w:rFonts w:hint="eastAsia"/>
                <w:szCs w:val="21"/>
              </w:rPr>
              <w:t>1</w:t>
            </w:r>
          </w:p>
        </w:tc>
        <w:tc>
          <w:tcPr>
            <w:tcW w:w="2239" w:type="dxa"/>
            <w:vAlign w:val="center"/>
          </w:tcPr>
          <w:p>
            <w:pPr>
              <w:spacing w:line="240" w:lineRule="auto"/>
              <w:rPr>
                <w:szCs w:val="21"/>
              </w:rPr>
            </w:pPr>
            <w:r>
              <w:rPr>
                <w:rFonts w:hint="eastAsia"/>
                <w:szCs w:val="21"/>
              </w:rPr>
              <w:t>关于免费保修期</w:t>
            </w:r>
          </w:p>
        </w:tc>
        <w:tc>
          <w:tcPr>
            <w:tcW w:w="6312" w:type="dxa"/>
            <w:vAlign w:val="center"/>
          </w:tcPr>
          <w:p>
            <w:pPr>
              <w:spacing w:line="240" w:lineRule="auto"/>
              <w:rPr>
                <w:b/>
                <w:szCs w:val="21"/>
              </w:rPr>
            </w:pPr>
            <w:r>
              <w:rPr>
                <w:rFonts w:hint="eastAsia"/>
                <w:bCs/>
                <w:szCs w:val="21"/>
              </w:rPr>
              <w:t>货物免费保修期</w:t>
            </w:r>
            <w:r>
              <w:rPr>
                <w:rFonts w:hint="eastAsia"/>
                <w:bCs/>
                <w:szCs w:val="21"/>
                <w:u w:val="single"/>
              </w:rPr>
              <w:t>3</w:t>
            </w:r>
            <w:r>
              <w:rPr>
                <w:rFonts w:hint="eastAsia"/>
                <w:bCs/>
                <w:szCs w:val="21"/>
              </w:rPr>
              <w:t>年，时间自最终验收合格并交付使用之日起计算。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019" w:type="dxa"/>
            <w:vAlign w:val="center"/>
          </w:tcPr>
          <w:p>
            <w:pPr>
              <w:spacing w:line="240" w:lineRule="auto"/>
              <w:jc w:val="center"/>
              <w:rPr>
                <w:szCs w:val="21"/>
              </w:rPr>
            </w:pPr>
            <w:r>
              <w:rPr>
                <w:rFonts w:hint="eastAsia"/>
                <w:szCs w:val="21"/>
              </w:rPr>
              <w:t>2</w:t>
            </w:r>
          </w:p>
        </w:tc>
        <w:tc>
          <w:tcPr>
            <w:tcW w:w="2239" w:type="dxa"/>
            <w:vAlign w:val="center"/>
          </w:tcPr>
          <w:p>
            <w:pPr>
              <w:spacing w:line="240" w:lineRule="auto"/>
              <w:rPr>
                <w:szCs w:val="21"/>
              </w:rPr>
            </w:pPr>
            <w:r>
              <w:rPr>
                <w:rFonts w:hint="eastAsia"/>
                <w:szCs w:val="21"/>
              </w:rPr>
              <w:t>关于交货期</w:t>
            </w:r>
          </w:p>
        </w:tc>
        <w:tc>
          <w:tcPr>
            <w:tcW w:w="6312" w:type="dxa"/>
            <w:vAlign w:val="center"/>
          </w:tcPr>
          <w:p>
            <w:pPr>
              <w:spacing w:line="240" w:lineRule="auto"/>
              <w:rPr>
                <w:b/>
                <w:szCs w:val="21"/>
              </w:rPr>
            </w:pPr>
            <w:r>
              <w:rPr>
                <w:rFonts w:hint="eastAsia"/>
                <w:bCs/>
                <w:szCs w:val="21"/>
              </w:rPr>
              <w:t>签订合同后</w:t>
            </w:r>
            <w:r>
              <w:rPr>
                <w:rFonts w:hint="eastAsia"/>
                <w:bCs/>
                <w:szCs w:val="21"/>
                <w:u w:val="single"/>
              </w:rPr>
              <w:t xml:space="preserve"> 30</w:t>
            </w:r>
            <w:r>
              <w:rPr>
                <w:rFonts w:hint="eastAsia"/>
                <w:bCs/>
                <w:szCs w:val="21"/>
              </w:rPr>
              <w:t>天（日历日）内。</w:t>
            </w:r>
          </w:p>
        </w:tc>
      </w:tr>
    </w:tbl>
    <w:p>
      <w:pPr>
        <w:numPr>
          <w:ilvl w:val="0"/>
          <w:numId w:val="32"/>
        </w:numPr>
        <w:adjustRightInd/>
        <w:snapToGrid/>
        <w:spacing w:before="280" w:after="290" w:line="377" w:lineRule="auto"/>
        <w:jc w:val="left"/>
        <w:outlineLvl w:val="2"/>
        <w:rPr>
          <w:b/>
          <w:sz w:val="24"/>
        </w:rPr>
      </w:pPr>
      <w:r>
        <w:rPr>
          <w:rFonts w:hint="eastAsia"/>
          <w:b/>
          <w:sz w:val="24"/>
        </w:rPr>
        <w:t>具体技术要求</w:t>
      </w:r>
    </w:p>
    <w:tbl>
      <w:tblPr>
        <w:tblStyle w:val="44"/>
        <w:tblW w:w="981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929"/>
        <w:gridCol w:w="6715"/>
        <w:gridCol w:w="63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b/>
                <w:bCs/>
                <w:color w:val="000000"/>
                <w:szCs w:val="21"/>
              </w:rPr>
              <w:t>序号</w:t>
            </w:r>
          </w:p>
        </w:tc>
        <w:tc>
          <w:tcPr>
            <w:tcW w:w="929" w:type="dxa"/>
            <w:shd w:val="clear" w:color="auto" w:fill="auto"/>
            <w:vAlign w:val="center"/>
          </w:tcPr>
          <w:p>
            <w:pPr>
              <w:jc w:val="center"/>
              <w:rPr>
                <w:rFonts w:asciiTheme="minorEastAsia" w:hAnsiTheme="minorEastAsia"/>
                <w:color w:val="000000"/>
                <w:szCs w:val="21"/>
              </w:rPr>
            </w:pPr>
            <w:r>
              <w:rPr>
                <w:rFonts w:hint="eastAsia" w:asciiTheme="minorEastAsia" w:hAnsiTheme="minorEastAsia"/>
                <w:b/>
                <w:bCs/>
                <w:color w:val="000000"/>
                <w:szCs w:val="21"/>
              </w:rPr>
              <w:t>设备名称</w:t>
            </w:r>
          </w:p>
        </w:tc>
        <w:tc>
          <w:tcPr>
            <w:tcW w:w="6715" w:type="dxa"/>
            <w:shd w:val="clear" w:color="auto" w:fill="auto"/>
            <w:vAlign w:val="center"/>
          </w:tcPr>
          <w:p>
            <w:pPr>
              <w:jc w:val="center"/>
              <w:rPr>
                <w:rFonts w:asciiTheme="minorEastAsia" w:hAnsiTheme="minorEastAsia"/>
                <w:color w:val="000000"/>
                <w:szCs w:val="21"/>
              </w:rPr>
            </w:pPr>
            <w:r>
              <w:rPr>
                <w:rFonts w:hint="eastAsia" w:asciiTheme="minorEastAsia" w:hAnsiTheme="minorEastAsia"/>
                <w:b/>
                <w:bCs/>
                <w:color w:val="000000"/>
                <w:szCs w:val="21"/>
              </w:rPr>
              <w:t>技术规格</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b/>
                <w:bCs/>
                <w:color w:val="000000"/>
                <w:szCs w:val="21"/>
              </w:rPr>
              <w:t>数量</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b/>
                <w:bCs/>
                <w:color w:val="000000"/>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3" w:hRule="atLeast"/>
        </w:trPr>
        <w:tc>
          <w:tcPr>
            <w:tcW w:w="711" w:type="dxa"/>
            <w:vMerge w:val="restart"/>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w:t>
            </w:r>
          </w:p>
        </w:tc>
        <w:tc>
          <w:tcPr>
            <w:tcW w:w="929" w:type="dxa"/>
            <w:vMerge w:val="restart"/>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交互式液晶一体机</w:t>
            </w: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一、交互平板硬件部分：</w:t>
            </w:r>
          </w:p>
          <w:p>
            <w:pPr>
              <w:jc w:val="left"/>
              <w:rPr>
                <w:rFonts w:asciiTheme="minorEastAsia" w:hAnsiTheme="minorEastAsia"/>
                <w:color w:val="000000"/>
                <w:szCs w:val="21"/>
              </w:rPr>
            </w:pPr>
            <w:r>
              <w:rPr>
                <w:rFonts w:hint="eastAsia" w:asciiTheme="minorEastAsia" w:hAnsiTheme="minorEastAsia"/>
                <w:color w:val="000000"/>
                <w:szCs w:val="21"/>
              </w:rPr>
              <w:t>1、尺寸:86英寸,采用LED背光。</w:t>
            </w:r>
          </w:p>
          <w:p>
            <w:pPr>
              <w:jc w:val="left"/>
              <w:rPr>
                <w:rFonts w:asciiTheme="minorEastAsia" w:hAnsiTheme="minorEastAsia"/>
                <w:color w:val="000000"/>
                <w:szCs w:val="21"/>
              </w:rPr>
            </w:pPr>
            <w:r>
              <w:rPr>
                <w:rFonts w:hint="eastAsia" w:asciiTheme="minorEastAsia" w:hAnsiTheme="minorEastAsia"/>
                <w:color w:val="000000"/>
                <w:szCs w:val="21"/>
              </w:rPr>
              <w:t xml:space="preserve">2、屏幕物理分辨率:≥3840*2160； </w:t>
            </w:r>
          </w:p>
          <w:p>
            <w:pPr>
              <w:jc w:val="left"/>
              <w:rPr>
                <w:rFonts w:asciiTheme="minorEastAsia" w:hAnsiTheme="minorEastAsia"/>
                <w:color w:val="000000"/>
                <w:szCs w:val="21"/>
              </w:rPr>
            </w:pPr>
            <w:r>
              <w:rPr>
                <w:rFonts w:hint="eastAsia" w:asciiTheme="minorEastAsia" w:hAnsiTheme="minorEastAsia"/>
                <w:color w:val="000000"/>
                <w:szCs w:val="21"/>
              </w:rPr>
              <w:t>3、满足全屏显示比例16:9;</w:t>
            </w:r>
          </w:p>
          <w:p>
            <w:pPr>
              <w:jc w:val="left"/>
              <w:rPr>
                <w:rFonts w:asciiTheme="minorEastAsia" w:hAnsiTheme="minorEastAsia"/>
                <w:color w:val="000000"/>
                <w:szCs w:val="21"/>
              </w:rPr>
            </w:pPr>
            <w:r>
              <w:rPr>
                <w:rFonts w:hint="eastAsia" w:asciiTheme="minorEastAsia" w:hAnsiTheme="minorEastAsia"/>
                <w:color w:val="000000"/>
                <w:szCs w:val="21"/>
              </w:rPr>
              <w:t>4、支持10点同时触控，支持10笔书写,触摸分辨率:≥32767*32767;▲触摸高度≤2.5mm；最小识别直径≤3mm；</w:t>
            </w:r>
          </w:p>
          <w:p>
            <w:pPr>
              <w:jc w:val="left"/>
              <w:rPr>
                <w:rFonts w:asciiTheme="minorEastAsia" w:hAnsiTheme="minorEastAsia"/>
                <w:color w:val="000000"/>
                <w:szCs w:val="21"/>
              </w:rPr>
            </w:pPr>
            <w:r>
              <w:rPr>
                <w:rFonts w:hint="eastAsia" w:asciiTheme="minorEastAsia" w:hAnsiTheme="minorEastAsia"/>
                <w:color w:val="000000"/>
                <w:szCs w:val="21"/>
              </w:rPr>
              <w:t>▲5、交互平板前置接口具有磁性盖板防护，防撞防尘；</w:t>
            </w:r>
          </w:p>
          <w:p>
            <w:pPr>
              <w:jc w:val="left"/>
              <w:rPr>
                <w:rFonts w:asciiTheme="minorEastAsia" w:hAnsiTheme="minorEastAsia"/>
                <w:color w:val="000000"/>
                <w:szCs w:val="21"/>
              </w:rPr>
            </w:pPr>
            <w:r>
              <w:rPr>
                <w:rFonts w:hint="eastAsia" w:asciiTheme="minorEastAsia" w:hAnsiTheme="minorEastAsia"/>
                <w:color w:val="000000"/>
                <w:szCs w:val="21"/>
              </w:rPr>
              <w:t>6.接口不少于3个双通道接口（Android2.0和PC3.0）、HDMI*1（非转接），有中文标识；（需提供相关检测报告）；</w:t>
            </w:r>
          </w:p>
          <w:p>
            <w:pPr>
              <w:jc w:val="left"/>
              <w:rPr>
                <w:rFonts w:asciiTheme="minorEastAsia" w:hAnsiTheme="minorEastAsia"/>
                <w:color w:val="000000"/>
                <w:szCs w:val="21"/>
              </w:rPr>
            </w:pPr>
            <w:r>
              <w:rPr>
                <w:rFonts w:hint="eastAsia" w:asciiTheme="minorEastAsia" w:hAnsiTheme="minorEastAsia"/>
                <w:color w:val="000000"/>
                <w:szCs w:val="21"/>
              </w:rPr>
              <w:t>▲6、交互平板左右两侧具有与教学应用密切相关的物理快捷键，该快捷键至少具有触控开关键、关闭窗口键，一键打开展台键，并且双侧快捷键具有中文标识。（不接受软件快捷键或不干胶贴纸形式）（需提供相关检测报告）</w:t>
            </w:r>
          </w:p>
          <w:p>
            <w:pPr>
              <w:jc w:val="left"/>
              <w:rPr>
                <w:rFonts w:asciiTheme="minorEastAsia" w:hAnsiTheme="minorEastAsia"/>
                <w:color w:val="000000"/>
                <w:szCs w:val="21"/>
              </w:rPr>
            </w:pPr>
            <w:r>
              <w:rPr>
                <w:rFonts w:hint="eastAsia" w:asciiTheme="minorEastAsia" w:hAnsiTheme="minorEastAsia"/>
                <w:color w:val="000000"/>
                <w:szCs w:val="21"/>
              </w:rPr>
              <w:t>7、为方便教学，避免误操作，交互平板前置按键，具备丝印中文标识。</w:t>
            </w:r>
          </w:p>
          <w:p>
            <w:pPr>
              <w:jc w:val="left"/>
              <w:rPr>
                <w:rFonts w:asciiTheme="minorEastAsia" w:hAnsiTheme="minorEastAsia"/>
                <w:color w:val="000000"/>
                <w:szCs w:val="21"/>
              </w:rPr>
            </w:pPr>
            <w:r>
              <w:rPr>
                <w:rFonts w:hint="eastAsia" w:asciiTheme="minorEastAsia" w:hAnsiTheme="minorEastAsia"/>
                <w:color w:val="000000"/>
                <w:szCs w:val="21"/>
              </w:rPr>
              <w:t xml:space="preserve">▲8、交互平板具备前置一键还原按键，带中文丝印标识，（需提供相关检测报告） </w:t>
            </w:r>
          </w:p>
          <w:p>
            <w:pPr>
              <w:jc w:val="left"/>
              <w:rPr>
                <w:rFonts w:asciiTheme="minorEastAsia" w:hAnsiTheme="minorEastAsia"/>
                <w:color w:val="000000"/>
                <w:szCs w:val="21"/>
              </w:rPr>
            </w:pPr>
            <w:r>
              <w:rPr>
                <w:rFonts w:hint="eastAsia" w:asciiTheme="minorEastAsia" w:hAnsiTheme="minorEastAsia"/>
                <w:color w:val="000000"/>
                <w:szCs w:val="21"/>
              </w:rPr>
              <w:t>9、为方便教学，交互平板正面具备2个15W音箱。</w:t>
            </w:r>
          </w:p>
          <w:p>
            <w:pPr>
              <w:jc w:val="left"/>
              <w:rPr>
                <w:rFonts w:asciiTheme="minorEastAsia" w:hAnsiTheme="minorEastAsia"/>
                <w:color w:val="000000"/>
                <w:szCs w:val="21"/>
              </w:rPr>
            </w:pPr>
            <w:r>
              <w:rPr>
                <w:rFonts w:hint="eastAsia" w:asciiTheme="minorEastAsia" w:hAnsiTheme="minorEastAsia"/>
                <w:color w:val="000000"/>
                <w:szCs w:val="21"/>
              </w:rPr>
              <w:t>10、交互平板采用插拔式模块电脑架构，接口严格遵循Intel®的OPS-C相关规范,针脚数≤80Pin,与插拔式电脑无单独接线。</w:t>
            </w:r>
          </w:p>
          <w:p>
            <w:pPr>
              <w:jc w:val="left"/>
              <w:rPr>
                <w:rFonts w:asciiTheme="minorEastAsia" w:hAnsiTheme="minorEastAsia"/>
                <w:color w:val="000000"/>
                <w:szCs w:val="21"/>
              </w:rPr>
            </w:pPr>
            <w:r>
              <w:rPr>
                <w:rFonts w:hint="eastAsia" w:asciiTheme="minorEastAsia" w:hAnsiTheme="minorEastAsia"/>
                <w:color w:val="000000"/>
                <w:szCs w:val="21"/>
              </w:rPr>
              <w:t>▲11、交互平板下方具备置物设计，方便老师放置粉笔及书写笔等；</w:t>
            </w:r>
          </w:p>
          <w:p>
            <w:pPr>
              <w:jc w:val="left"/>
              <w:rPr>
                <w:rFonts w:asciiTheme="minorEastAsia" w:hAnsiTheme="minorEastAsia"/>
                <w:color w:val="000000"/>
                <w:szCs w:val="21"/>
              </w:rPr>
            </w:pPr>
            <w:r>
              <w:rPr>
                <w:rFonts w:hint="eastAsia" w:asciiTheme="minorEastAsia" w:hAnsiTheme="minorEastAsia"/>
                <w:color w:val="000000"/>
                <w:szCs w:val="21"/>
              </w:rPr>
              <w:t>▲12、交互平板Android主板具备ROM不小于8G，RAM不小于1G，版本不低于6.0。</w:t>
            </w:r>
          </w:p>
          <w:p>
            <w:pPr>
              <w:jc w:val="left"/>
              <w:rPr>
                <w:rFonts w:asciiTheme="minorEastAsia" w:hAnsiTheme="minorEastAsia"/>
                <w:color w:val="000000"/>
                <w:szCs w:val="21"/>
              </w:rPr>
            </w:pPr>
            <w:r>
              <w:rPr>
                <w:rFonts w:hint="eastAsia" w:asciiTheme="minorEastAsia" w:hAnsiTheme="minorEastAsia"/>
                <w:color w:val="000000"/>
                <w:szCs w:val="21"/>
              </w:rPr>
              <w:t>▲13、为提高安全性，交互平板具备供电保护模块，插拔式电脑未被固定不会通电；</w:t>
            </w:r>
          </w:p>
          <w:p>
            <w:pPr>
              <w:jc w:val="left"/>
              <w:rPr>
                <w:rFonts w:asciiTheme="minorEastAsia" w:hAnsiTheme="minorEastAsia"/>
                <w:color w:val="000000"/>
                <w:szCs w:val="21"/>
              </w:rPr>
            </w:pPr>
            <w:r>
              <w:rPr>
                <w:rFonts w:hint="eastAsia" w:asciiTheme="minorEastAsia" w:hAnsiTheme="minorEastAsia"/>
                <w:color w:val="000000"/>
                <w:szCs w:val="21"/>
              </w:rPr>
              <w:t>14、为提高便利性，交互平板只需一根网线，即可满足windows和Android双系统的上网需求。</w:t>
            </w:r>
          </w:p>
          <w:p>
            <w:pPr>
              <w:jc w:val="left"/>
              <w:rPr>
                <w:rFonts w:asciiTheme="minorEastAsia" w:hAnsiTheme="minorEastAsia"/>
                <w:color w:val="000000"/>
                <w:szCs w:val="21"/>
              </w:rPr>
            </w:pPr>
            <w:r>
              <w:rPr>
                <w:rFonts w:hint="eastAsia" w:asciiTheme="minorEastAsia" w:hAnsiTheme="minorEastAsia"/>
                <w:color w:val="000000"/>
                <w:szCs w:val="21"/>
              </w:rPr>
              <w:t>15、支持USBKey解锁，在整机锁定的状态下，插入U盘后可解锁；</w:t>
            </w:r>
          </w:p>
          <w:p>
            <w:pPr>
              <w:jc w:val="left"/>
              <w:rPr>
                <w:rFonts w:asciiTheme="minorEastAsia" w:hAnsiTheme="minorEastAsia"/>
                <w:color w:val="000000"/>
                <w:szCs w:val="21"/>
              </w:rPr>
            </w:pPr>
            <w:r>
              <w:rPr>
                <w:rFonts w:hint="eastAsia" w:asciiTheme="minorEastAsia" w:hAnsiTheme="minorEastAsia"/>
                <w:color w:val="000000"/>
                <w:szCs w:val="21"/>
              </w:rPr>
              <w:t>16、为防止误触，设备可通过遥控器、前置按键或虚拟按键，对整机进行锁定，并可通过遥控器、前置按键或U盘进行解锁；</w:t>
            </w:r>
          </w:p>
          <w:p>
            <w:pPr>
              <w:jc w:val="left"/>
              <w:rPr>
                <w:rFonts w:asciiTheme="minorEastAsia" w:hAnsiTheme="minorEastAsia"/>
                <w:color w:val="000000"/>
                <w:szCs w:val="21"/>
              </w:rPr>
            </w:pPr>
            <w:r>
              <w:rPr>
                <w:rFonts w:hint="eastAsia" w:asciiTheme="minorEastAsia" w:hAnsiTheme="minorEastAsia"/>
                <w:color w:val="000000"/>
                <w:szCs w:val="21"/>
              </w:rPr>
              <w:t>17、为方便教学，交互平板自动识别新接入的信号源，并自动切换到该信号源；当断开后，自动切回之前信号源；</w:t>
            </w:r>
          </w:p>
        </w:tc>
        <w:tc>
          <w:tcPr>
            <w:tcW w:w="638" w:type="dxa"/>
            <w:vMerge w:val="restart"/>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50</w:t>
            </w:r>
          </w:p>
        </w:tc>
        <w:tc>
          <w:tcPr>
            <w:tcW w:w="818" w:type="dxa"/>
            <w:vMerge w:val="restart"/>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3" w:hRule="atLeast"/>
        </w:trPr>
        <w:tc>
          <w:tcPr>
            <w:tcW w:w="711" w:type="dxa"/>
            <w:vMerge w:val="continue"/>
            <w:shd w:val="clear" w:color="auto" w:fill="auto"/>
            <w:noWrap/>
            <w:vAlign w:val="center"/>
          </w:tcPr>
          <w:p>
            <w:pPr>
              <w:jc w:val="left"/>
            </w:pPr>
          </w:p>
        </w:tc>
        <w:tc>
          <w:tcPr>
            <w:tcW w:w="929" w:type="dxa"/>
            <w:vMerge w:val="continue"/>
            <w:shd w:val="clear" w:color="auto" w:fill="auto"/>
            <w:vAlign w:val="center"/>
          </w:tcPr>
          <w:p>
            <w:pPr>
              <w:jc w:val="left"/>
            </w:pP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二、安卓应用：</w:t>
            </w:r>
          </w:p>
          <w:p>
            <w:pPr>
              <w:jc w:val="left"/>
              <w:rPr>
                <w:rFonts w:asciiTheme="minorEastAsia" w:hAnsiTheme="minorEastAsia"/>
                <w:color w:val="000000"/>
                <w:szCs w:val="21"/>
              </w:rPr>
            </w:pPr>
            <w:r>
              <w:rPr>
                <w:rFonts w:hint="eastAsia" w:asciiTheme="minorEastAsia" w:hAnsiTheme="minorEastAsia"/>
                <w:color w:val="000000"/>
                <w:szCs w:val="21"/>
              </w:rPr>
              <w:t>1、▲为了教师操作便捷，交互平板可通过多指长按屏幕，达到息屏和唤醒功能，不接受触摸菜单或物理按键方式；</w:t>
            </w:r>
          </w:p>
          <w:p>
            <w:pPr>
              <w:jc w:val="left"/>
              <w:rPr>
                <w:rFonts w:asciiTheme="minorEastAsia" w:hAnsiTheme="minorEastAsia"/>
                <w:color w:val="000000"/>
                <w:szCs w:val="21"/>
              </w:rPr>
            </w:pPr>
            <w:r>
              <w:rPr>
                <w:rFonts w:hint="eastAsia" w:asciiTheme="minorEastAsia" w:hAnsiTheme="minorEastAsia"/>
                <w:color w:val="000000"/>
                <w:szCs w:val="21"/>
              </w:rPr>
              <w:t>2、具备文件浏览功能，可实现文件分类，选定、全选、复制、粘贴、删除、一键发送、二维码分享等功能。</w:t>
            </w:r>
          </w:p>
          <w:p>
            <w:pPr>
              <w:jc w:val="left"/>
              <w:rPr>
                <w:rFonts w:asciiTheme="minorEastAsia" w:hAnsiTheme="minorEastAsia"/>
                <w:color w:val="000000"/>
                <w:szCs w:val="21"/>
              </w:rPr>
            </w:pPr>
            <w:r>
              <w:rPr>
                <w:rFonts w:hint="eastAsia" w:asciiTheme="minorEastAsia" w:hAnsiTheme="minorEastAsia"/>
                <w:color w:val="000000"/>
                <w:szCs w:val="21"/>
              </w:rPr>
              <w:t>3、交互平板具备智能护眼组合功能，可直接提供护眼模式、实现智能光控、以及书写时屏显自动变暗。</w:t>
            </w:r>
          </w:p>
          <w:p>
            <w:pPr>
              <w:jc w:val="left"/>
              <w:rPr>
                <w:rFonts w:asciiTheme="minorEastAsia" w:hAnsiTheme="minorEastAsia"/>
                <w:color w:val="000000"/>
                <w:szCs w:val="21"/>
              </w:rPr>
            </w:pPr>
            <w:r>
              <w:rPr>
                <w:rFonts w:hint="eastAsia" w:asciiTheme="minorEastAsia" w:hAnsiTheme="minorEastAsia"/>
                <w:color w:val="000000"/>
                <w:szCs w:val="21"/>
              </w:rPr>
              <w:t>4、在Windows和Android的白板软件下，悬浮菜单中的书写工具（批注、橡皮）可与底部白板软件的工具条联动；</w:t>
            </w:r>
          </w:p>
          <w:p>
            <w:pPr>
              <w:jc w:val="left"/>
              <w:rPr>
                <w:rFonts w:asciiTheme="minorEastAsia" w:hAnsiTheme="minorEastAsia"/>
                <w:color w:val="000000"/>
                <w:szCs w:val="21"/>
              </w:rPr>
            </w:pPr>
            <w:r>
              <w:rPr>
                <w:rFonts w:hint="eastAsia" w:asciiTheme="minorEastAsia" w:hAnsiTheme="minorEastAsia"/>
                <w:color w:val="000000"/>
                <w:szCs w:val="21"/>
              </w:rPr>
              <w:t>5、▲为了教师方便应用，交互平板前置提供综合设置物理按键，可在任意通道下一键呼出系统设置、系统检测、智能温控、信号源预览等功能进行快速设置；</w:t>
            </w:r>
          </w:p>
          <w:p>
            <w:pPr>
              <w:jc w:val="left"/>
              <w:rPr>
                <w:rFonts w:asciiTheme="minorEastAsia" w:hAnsiTheme="minorEastAsia"/>
                <w:color w:val="000000"/>
                <w:szCs w:val="21"/>
              </w:rPr>
            </w:pPr>
            <w:r>
              <w:rPr>
                <w:rFonts w:hint="eastAsia" w:asciiTheme="minorEastAsia" w:hAnsiTheme="minorEastAsia"/>
                <w:color w:val="000000"/>
                <w:szCs w:val="21"/>
              </w:rPr>
              <w:t>6、为方便教学，Android白板软件具备二维码分享功能；</w:t>
            </w:r>
          </w:p>
          <w:p>
            <w:pPr>
              <w:jc w:val="left"/>
              <w:rPr>
                <w:rFonts w:asciiTheme="minorEastAsia" w:hAnsiTheme="minorEastAsia"/>
                <w:color w:val="000000"/>
                <w:szCs w:val="21"/>
              </w:rPr>
            </w:pPr>
            <w:r>
              <w:rPr>
                <w:rFonts w:hint="eastAsia" w:asciiTheme="minorEastAsia" w:hAnsiTheme="minorEastAsia"/>
                <w:color w:val="000000"/>
                <w:szCs w:val="21"/>
              </w:rPr>
              <w:t>7、为方便老师操作，交互平板的通道的名称可以修改；</w:t>
            </w:r>
          </w:p>
          <w:p>
            <w:pPr>
              <w:jc w:val="left"/>
              <w:rPr>
                <w:rFonts w:asciiTheme="minorEastAsia" w:hAnsiTheme="minorEastAsia"/>
                <w:color w:val="000000"/>
                <w:szCs w:val="21"/>
              </w:rPr>
            </w:pPr>
            <w:r>
              <w:rPr>
                <w:rFonts w:hint="eastAsia" w:asciiTheme="minorEastAsia" w:hAnsiTheme="minorEastAsia"/>
                <w:color w:val="000000"/>
                <w:szCs w:val="21"/>
              </w:rPr>
              <w:t>8、▲为方便教学，悬浮菜单中的信号源可自定义修改，并固化到菜单中，一键直达常用信号源；</w:t>
            </w:r>
          </w:p>
          <w:p>
            <w:pPr>
              <w:jc w:val="left"/>
              <w:rPr>
                <w:rFonts w:asciiTheme="minorEastAsia" w:hAnsiTheme="minorEastAsia"/>
                <w:color w:val="000000"/>
                <w:szCs w:val="21"/>
              </w:rPr>
            </w:pPr>
            <w:r>
              <w:rPr>
                <w:rFonts w:hint="eastAsia" w:asciiTheme="minorEastAsia" w:hAnsiTheme="minorEastAsia"/>
                <w:color w:val="000000"/>
                <w:szCs w:val="21"/>
              </w:rPr>
              <w:t>9、▲通过交互平板桌面的悬浮菜单切换信号源通道，并可通过两指调用此悬浮菜单到任意位置；</w:t>
            </w:r>
          </w:p>
          <w:p>
            <w:pPr>
              <w:jc w:val="left"/>
              <w:rPr>
                <w:rFonts w:asciiTheme="minorEastAsia" w:hAnsiTheme="minorEastAsia"/>
                <w:color w:val="000000"/>
                <w:szCs w:val="21"/>
              </w:rPr>
            </w:pPr>
            <w:r>
              <w:rPr>
                <w:rFonts w:hint="eastAsia" w:asciiTheme="minorEastAsia" w:hAnsiTheme="minorEastAsia"/>
                <w:color w:val="000000"/>
                <w:szCs w:val="21"/>
              </w:rPr>
              <w:t>10、Android部分提供硬件系统检测(支持无PC状况下使用):对系统内存、存储、红外框、内嵌电脑、屏温监控等提供直观的状态、故障提示;</w:t>
            </w:r>
          </w:p>
          <w:p>
            <w:pPr>
              <w:jc w:val="left"/>
              <w:rPr>
                <w:rFonts w:asciiTheme="minorEastAsia" w:hAnsiTheme="minorEastAsia"/>
                <w:color w:val="000000"/>
                <w:szCs w:val="21"/>
              </w:rPr>
            </w:pPr>
            <w:r>
              <w:rPr>
                <w:rFonts w:hint="eastAsia" w:asciiTheme="minorEastAsia" w:hAnsiTheme="minorEastAsia"/>
                <w:color w:val="000000"/>
                <w:szCs w:val="21"/>
              </w:rPr>
              <w:t>11、▲交互平板具备任意通道下无需点击物理按键，可随时调用计算器、日历等小工具，并支持拖拽及关闭。</w:t>
            </w:r>
          </w:p>
          <w:p>
            <w:pPr>
              <w:jc w:val="left"/>
              <w:rPr>
                <w:rFonts w:asciiTheme="minorEastAsia" w:hAnsiTheme="minorEastAsia"/>
                <w:color w:val="000000"/>
                <w:szCs w:val="21"/>
              </w:rPr>
            </w:pPr>
            <w:r>
              <w:rPr>
                <w:rFonts w:hint="eastAsia" w:asciiTheme="minorEastAsia" w:hAnsiTheme="minorEastAsia"/>
                <w:color w:val="000000"/>
                <w:szCs w:val="21"/>
              </w:rPr>
              <w:t>12、▲为方便教学，交互平板提供不少于三种方式启动展台软件。</w:t>
            </w:r>
          </w:p>
          <w:p>
            <w:pPr>
              <w:jc w:val="left"/>
              <w:rPr>
                <w:rFonts w:asciiTheme="minorEastAsia" w:hAnsiTheme="minorEastAsia"/>
                <w:color w:val="000000"/>
                <w:szCs w:val="21"/>
              </w:rPr>
            </w:pPr>
            <w:r>
              <w:rPr>
                <w:rFonts w:hint="eastAsia" w:asciiTheme="minorEastAsia" w:hAnsiTheme="minorEastAsia"/>
                <w:color w:val="000000"/>
                <w:szCs w:val="21"/>
              </w:rPr>
              <w:t>13、▲为方便教学，交互平板不少于三种方式启动白板软件。</w:t>
            </w:r>
          </w:p>
        </w:tc>
        <w:tc>
          <w:tcPr>
            <w:tcW w:w="638" w:type="dxa"/>
            <w:vMerge w:val="continue"/>
            <w:shd w:val="clear" w:color="auto" w:fill="auto"/>
            <w:noWrap/>
            <w:vAlign w:val="center"/>
          </w:tcPr>
          <w:p>
            <w:pPr>
              <w:jc w:val="left"/>
              <w:rPr>
                <w:rFonts w:asciiTheme="minorEastAsia" w:hAnsiTheme="minorEastAsia"/>
                <w:color w:val="000000"/>
                <w:szCs w:val="21"/>
              </w:rPr>
            </w:pPr>
          </w:p>
        </w:tc>
        <w:tc>
          <w:tcPr>
            <w:tcW w:w="818" w:type="dxa"/>
            <w:vMerge w:val="continue"/>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3" w:hRule="atLeast"/>
        </w:trPr>
        <w:tc>
          <w:tcPr>
            <w:tcW w:w="711" w:type="dxa"/>
            <w:vMerge w:val="continue"/>
            <w:shd w:val="clear" w:color="auto" w:fill="auto"/>
            <w:noWrap/>
            <w:vAlign w:val="center"/>
          </w:tcPr>
          <w:p>
            <w:pPr>
              <w:jc w:val="left"/>
              <w:rPr>
                <w:rFonts w:asciiTheme="minorEastAsia" w:hAnsiTheme="minorEastAsia"/>
                <w:color w:val="000000"/>
                <w:szCs w:val="21"/>
              </w:rPr>
            </w:pPr>
          </w:p>
        </w:tc>
        <w:tc>
          <w:tcPr>
            <w:tcW w:w="929" w:type="dxa"/>
            <w:vMerge w:val="continue"/>
            <w:shd w:val="clear" w:color="auto" w:fill="auto"/>
            <w:vAlign w:val="center"/>
          </w:tcPr>
          <w:p>
            <w:pPr>
              <w:jc w:val="left"/>
              <w:rPr>
                <w:rFonts w:asciiTheme="minorEastAsia" w:hAnsiTheme="minorEastAsia"/>
                <w:color w:val="000000"/>
                <w:szCs w:val="21"/>
              </w:rPr>
            </w:pPr>
          </w:p>
        </w:tc>
        <w:tc>
          <w:tcPr>
            <w:tcW w:w="6715" w:type="dxa"/>
            <w:shd w:val="clear" w:color="auto" w:fill="auto"/>
          </w:tcPr>
          <w:p>
            <w:pPr>
              <w:jc w:val="left"/>
              <w:rPr>
                <w:color w:val="000000"/>
                <w:szCs w:val="21"/>
              </w:rPr>
            </w:pPr>
            <w:r>
              <w:rPr>
                <w:rFonts w:hint="eastAsia"/>
                <w:color w:val="000000"/>
                <w:szCs w:val="21"/>
              </w:rPr>
              <w:t>三、电脑模块和操作系统</w:t>
            </w:r>
          </w:p>
          <w:p>
            <w:pPr>
              <w:jc w:val="left"/>
              <w:rPr>
                <w:color w:val="000000"/>
                <w:szCs w:val="21"/>
              </w:rPr>
            </w:pPr>
            <w:r>
              <w:rPr>
                <w:rFonts w:hint="eastAsia"/>
                <w:color w:val="000000"/>
                <w:szCs w:val="21"/>
              </w:rPr>
              <w:t>1、▲整机架构:采用插拔式模块电脑架构，接口严格遵循Intel®相关规范,针脚数不少于80Pin,与大屏无单独接线.</w:t>
            </w:r>
          </w:p>
          <w:p>
            <w:pPr>
              <w:jc w:val="left"/>
              <w:rPr>
                <w:color w:val="000000"/>
                <w:szCs w:val="21"/>
              </w:rPr>
            </w:pPr>
            <w:r>
              <w:rPr>
                <w:rFonts w:hint="eastAsia"/>
                <w:color w:val="000000"/>
                <w:szCs w:val="21"/>
              </w:rPr>
              <w:t>2、主板规格:采用H110芯片组，支持无盘启动、网络唤醒、上电开机、看门狗等功能；</w:t>
            </w:r>
          </w:p>
          <w:p>
            <w:pPr>
              <w:jc w:val="left"/>
              <w:rPr>
                <w:color w:val="000000"/>
                <w:szCs w:val="21"/>
              </w:rPr>
            </w:pPr>
            <w:r>
              <w:rPr>
                <w:rFonts w:hint="eastAsia"/>
                <w:color w:val="000000"/>
                <w:szCs w:val="21"/>
              </w:rPr>
              <w:t>3、采用Intel第7代酷睿 Skylake平台I5处理器（CPU 7500及以上）、主频3.2GHz或以上配置;8G内存或以上;256G SSD或以上配置,并具有防震功能;</w:t>
            </w:r>
          </w:p>
          <w:p>
            <w:pPr>
              <w:jc w:val="left"/>
              <w:rPr>
                <w:color w:val="000000"/>
                <w:szCs w:val="21"/>
              </w:rPr>
            </w:pPr>
            <w:r>
              <w:rPr>
                <w:rFonts w:hint="eastAsia"/>
                <w:color w:val="000000"/>
                <w:szCs w:val="21"/>
              </w:rPr>
              <w:t>4、拓展接口:具备独立非外扩展6个USB（至少包含3路USB3.0）接口、HDMI*1、RS232*1,DP*1,满足教学拓展需求;</w:t>
            </w:r>
          </w:p>
          <w:p>
            <w:pPr>
              <w:jc w:val="left"/>
              <w:rPr>
                <w:color w:val="000000"/>
                <w:szCs w:val="21"/>
              </w:rPr>
            </w:pPr>
            <w:r>
              <w:rPr>
                <w:rFonts w:hint="eastAsia"/>
                <w:color w:val="000000"/>
                <w:szCs w:val="21"/>
              </w:rPr>
              <w:t>5、系统还原:提供软件、硬件一键系统还原方案;</w:t>
            </w:r>
          </w:p>
          <w:p>
            <w:pPr>
              <w:jc w:val="left"/>
              <w:rPr>
                <w:color w:val="000000"/>
                <w:szCs w:val="21"/>
              </w:rPr>
            </w:pPr>
            <w:r>
              <w:rPr>
                <w:rFonts w:hint="eastAsia"/>
                <w:color w:val="000000"/>
                <w:szCs w:val="21"/>
              </w:rPr>
              <w:t>6、▲设备兼容与认证:插拔式电脑模块与整机必须为同一厂家生产并通过3C认证，提供单独电脑模块3C认证。</w:t>
            </w:r>
          </w:p>
          <w:p>
            <w:pPr>
              <w:jc w:val="left"/>
              <w:rPr>
                <w:rFonts w:asciiTheme="minorEastAsia" w:hAnsiTheme="minorEastAsia"/>
                <w:color w:val="000000"/>
                <w:szCs w:val="21"/>
              </w:rPr>
            </w:pPr>
            <w:r>
              <w:rPr>
                <w:rFonts w:hint="eastAsia"/>
                <w:color w:val="000000"/>
                <w:szCs w:val="21"/>
              </w:rPr>
              <w:t>7、系统版本:正版Windows 10 Professional专业版(64Bit）;</w:t>
            </w:r>
          </w:p>
        </w:tc>
        <w:tc>
          <w:tcPr>
            <w:tcW w:w="638" w:type="dxa"/>
            <w:vMerge w:val="continue"/>
            <w:shd w:val="clear" w:color="auto" w:fill="auto"/>
            <w:noWrap/>
            <w:vAlign w:val="center"/>
          </w:tcPr>
          <w:p>
            <w:pPr>
              <w:jc w:val="left"/>
              <w:rPr>
                <w:rFonts w:asciiTheme="minorEastAsia" w:hAnsiTheme="minorEastAsia"/>
                <w:color w:val="000000"/>
                <w:szCs w:val="21"/>
              </w:rPr>
            </w:pPr>
          </w:p>
        </w:tc>
        <w:tc>
          <w:tcPr>
            <w:tcW w:w="818" w:type="dxa"/>
            <w:vMerge w:val="continue"/>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3" w:hRule="atLeast"/>
        </w:trPr>
        <w:tc>
          <w:tcPr>
            <w:tcW w:w="711" w:type="dxa"/>
            <w:vMerge w:val="continue"/>
            <w:shd w:val="clear" w:color="auto" w:fill="auto"/>
            <w:noWrap/>
            <w:vAlign w:val="center"/>
          </w:tcPr>
          <w:p>
            <w:pPr>
              <w:jc w:val="left"/>
            </w:pPr>
          </w:p>
        </w:tc>
        <w:tc>
          <w:tcPr>
            <w:tcW w:w="929" w:type="dxa"/>
            <w:vMerge w:val="continue"/>
            <w:shd w:val="clear" w:color="auto" w:fill="auto"/>
            <w:vAlign w:val="center"/>
          </w:tcPr>
          <w:p>
            <w:pPr>
              <w:jc w:val="left"/>
            </w:pP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四、全学科备授课系统：</w:t>
            </w:r>
          </w:p>
          <w:p>
            <w:pPr>
              <w:jc w:val="left"/>
              <w:rPr>
                <w:rFonts w:asciiTheme="minorEastAsia" w:hAnsiTheme="minorEastAsia"/>
                <w:color w:val="000000"/>
                <w:szCs w:val="21"/>
              </w:rPr>
            </w:pPr>
            <w:r>
              <w:rPr>
                <w:rFonts w:hint="eastAsia" w:asciiTheme="minorEastAsia" w:hAnsiTheme="minorEastAsia"/>
                <w:color w:val="000000"/>
                <w:szCs w:val="21"/>
              </w:rPr>
              <w:t xml:space="preserve"> 1、教学设计</w:t>
            </w:r>
          </w:p>
          <w:p>
            <w:pPr>
              <w:jc w:val="left"/>
              <w:rPr>
                <w:rFonts w:asciiTheme="minorEastAsia" w:hAnsiTheme="minorEastAsia"/>
                <w:color w:val="000000"/>
                <w:szCs w:val="21"/>
              </w:rPr>
            </w:pPr>
            <w:r>
              <w:rPr>
                <w:rFonts w:hint="eastAsia" w:asciiTheme="minorEastAsia" w:hAnsiTheme="minorEastAsia"/>
                <w:color w:val="000000"/>
                <w:szCs w:val="21"/>
              </w:rPr>
              <w:t>▲（1）、软件提供教学设计功能，支持教师根据教学需要自主添加课堂活动。课堂活动中涵盖情景导入、内容精讲、同步习题、随堂测试、分组竞赛、分组探究等至少6个环节，支持调整各个环节顺序或增删环节；</w:t>
            </w:r>
          </w:p>
          <w:p>
            <w:pPr>
              <w:jc w:val="left"/>
              <w:rPr>
                <w:rFonts w:asciiTheme="minorEastAsia" w:hAnsiTheme="minorEastAsia"/>
                <w:color w:val="000000"/>
                <w:szCs w:val="21"/>
              </w:rPr>
            </w:pPr>
            <w:r>
              <w:rPr>
                <w:rFonts w:hint="eastAsia" w:asciiTheme="minorEastAsia" w:hAnsiTheme="minorEastAsia"/>
                <w:color w:val="000000"/>
                <w:szCs w:val="21"/>
              </w:rPr>
              <w:t>▲（2）、云平台针对不同教学环节自动推送与课程精准匹配的资源；</w:t>
            </w:r>
          </w:p>
          <w:p>
            <w:pPr>
              <w:jc w:val="left"/>
              <w:rPr>
                <w:rFonts w:asciiTheme="minorEastAsia" w:hAnsiTheme="minorEastAsia"/>
                <w:color w:val="000000"/>
                <w:szCs w:val="21"/>
              </w:rPr>
            </w:pPr>
            <w:r>
              <w:rPr>
                <w:rFonts w:hint="eastAsia" w:asciiTheme="minorEastAsia" w:hAnsiTheme="minorEastAsia"/>
                <w:color w:val="000000"/>
                <w:szCs w:val="21"/>
              </w:rPr>
              <w:t>（3）、支持添加：mp4、txt、ppt、pptx、doc、jpg 、gif、等多种格式的本地素材。</w:t>
            </w:r>
          </w:p>
          <w:p>
            <w:pPr>
              <w:jc w:val="left"/>
              <w:rPr>
                <w:rFonts w:asciiTheme="minorEastAsia" w:hAnsiTheme="minorEastAsia"/>
                <w:color w:val="000000"/>
                <w:szCs w:val="21"/>
              </w:rPr>
            </w:pPr>
            <w:r>
              <w:rPr>
                <w:rFonts w:hint="eastAsia" w:asciiTheme="minorEastAsia" w:hAnsiTheme="minorEastAsia"/>
                <w:color w:val="000000"/>
                <w:szCs w:val="21"/>
              </w:rPr>
              <w:t>▲（4）、教案可实时同步至云端，方便教师随时随地查看教案及再次修改</w:t>
            </w:r>
          </w:p>
          <w:p>
            <w:pPr>
              <w:jc w:val="left"/>
              <w:rPr>
                <w:rFonts w:asciiTheme="minorEastAsia" w:hAnsiTheme="minorEastAsia"/>
                <w:color w:val="000000"/>
                <w:szCs w:val="21"/>
              </w:rPr>
            </w:pPr>
            <w:r>
              <w:rPr>
                <w:rFonts w:hint="eastAsia" w:asciiTheme="minorEastAsia" w:hAnsiTheme="minorEastAsia"/>
                <w:color w:val="000000"/>
                <w:szCs w:val="21"/>
              </w:rPr>
              <w:t xml:space="preserve">    2、白板软件</w:t>
            </w:r>
          </w:p>
          <w:p>
            <w:pPr>
              <w:jc w:val="left"/>
              <w:rPr>
                <w:rFonts w:asciiTheme="minorEastAsia" w:hAnsiTheme="minorEastAsia"/>
                <w:color w:val="000000"/>
                <w:szCs w:val="21"/>
              </w:rPr>
            </w:pPr>
            <w:r>
              <w:rPr>
                <w:rFonts w:hint="eastAsia" w:asciiTheme="minorEastAsia" w:hAnsiTheme="minorEastAsia"/>
                <w:color w:val="000000"/>
                <w:szCs w:val="21"/>
              </w:rPr>
              <w:t>▲（1）、支持免登录直接使用本地教学工具；老师的每个个人账号提供不少于50G云端存储空间，无需用户通过完成特定任务才能获取，方便老师存储资料；</w:t>
            </w:r>
          </w:p>
          <w:p>
            <w:pPr>
              <w:jc w:val="left"/>
              <w:rPr>
                <w:rFonts w:asciiTheme="minorEastAsia" w:hAnsiTheme="minorEastAsia"/>
                <w:color w:val="000000"/>
                <w:szCs w:val="21"/>
              </w:rPr>
            </w:pPr>
            <w:r>
              <w:rPr>
                <w:rFonts w:hint="eastAsia" w:asciiTheme="minorEastAsia" w:hAnsiTheme="minorEastAsia"/>
                <w:color w:val="000000"/>
                <w:szCs w:val="21"/>
              </w:rPr>
              <w:t>▲（2）、软硬件菜单功能按钮/图标配备明确中文标识，交互平板双侧快捷键具备一个自定义功能，可自定义常用软件功能如：荧光笔、幕布、时钟、截图、量角器、圆规等；</w:t>
            </w:r>
          </w:p>
          <w:p>
            <w:pPr>
              <w:jc w:val="left"/>
              <w:rPr>
                <w:rFonts w:asciiTheme="minorEastAsia" w:hAnsiTheme="minorEastAsia"/>
                <w:color w:val="000000"/>
                <w:szCs w:val="21"/>
              </w:rPr>
            </w:pPr>
            <w:r>
              <w:rPr>
                <w:rFonts w:hint="eastAsia" w:asciiTheme="minorEastAsia" w:hAnsiTheme="minorEastAsia"/>
                <w:color w:val="000000"/>
                <w:szCs w:val="21"/>
              </w:rPr>
              <w:t>（3）、易用的文本编辑功能，支持文本输入并可快速设置字体、大小、颜色、粗体、斜体、下划线、删除线、上标、下标、项目符号等复杂文本的输入，可对文本的对齐、行间距、透明度、等进行设置，方便用户编辑文字。</w:t>
            </w:r>
          </w:p>
          <w:p>
            <w:pPr>
              <w:jc w:val="left"/>
              <w:rPr>
                <w:rFonts w:asciiTheme="minorEastAsia" w:hAnsiTheme="minorEastAsia"/>
                <w:color w:val="000000"/>
                <w:szCs w:val="21"/>
              </w:rPr>
            </w:pPr>
            <w:r>
              <w:rPr>
                <w:rFonts w:hint="eastAsia" w:asciiTheme="minorEastAsia" w:hAnsiTheme="minorEastAsia"/>
                <w:color w:val="000000"/>
                <w:szCs w:val="21"/>
              </w:rPr>
              <w:t>（4）、软件具备智能辅助线，移动单个素材时，可以智能提示水平、垂直对齐位置，方便课件排版；</w:t>
            </w:r>
          </w:p>
          <w:p>
            <w:pPr>
              <w:jc w:val="left"/>
              <w:rPr>
                <w:rFonts w:asciiTheme="minorEastAsia" w:hAnsiTheme="minorEastAsia"/>
                <w:color w:val="000000"/>
                <w:szCs w:val="21"/>
              </w:rPr>
            </w:pPr>
            <w:r>
              <w:rPr>
                <w:rFonts w:hint="eastAsia" w:asciiTheme="minorEastAsia" w:hAnsiTheme="minorEastAsia"/>
                <w:color w:val="000000"/>
                <w:szCs w:val="21"/>
              </w:rPr>
              <w:t>▲（5）、提供音、视频图片编辑功能。音、视频文件导入到软件中进行播放，可设置循环播放、跨页面播放。视频文件可一键全屏播放，支持动态截图，截取图片自动生成图片索引栏，图片索引栏可跨页面显示。</w:t>
            </w:r>
          </w:p>
          <w:p>
            <w:pPr>
              <w:jc w:val="left"/>
              <w:rPr>
                <w:rFonts w:asciiTheme="minorEastAsia" w:hAnsiTheme="minorEastAsia"/>
                <w:color w:val="000000"/>
                <w:szCs w:val="21"/>
              </w:rPr>
            </w:pPr>
            <w:r>
              <w:rPr>
                <w:rFonts w:hint="eastAsia" w:asciiTheme="minorEastAsia" w:hAnsiTheme="minorEastAsia"/>
                <w:color w:val="000000"/>
                <w:szCs w:val="21"/>
              </w:rPr>
              <w:t>▲（6）、学科工具：至少提供12门以上学科工具，包含语文、数学、英语、物理、化学、生物、地理、历史、音乐、体育、书法等。针对以上学科，学科工具里不是简单的静态图片，包括交互式操作的动画，动画支持一键全屏显示。</w:t>
            </w:r>
          </w:p>
          <w:p>
            <w:pPr>
              <w:jc w:val="left"/>
              <w:rPr>
                <w:rFonts w:asciiTheme="minorEastAsia" w:hAnsiTheme="minorEastAsia"/>
                <w:color w:val="000000"/>
                <w:szCs w:val="21"/>
              </w:rPr>
            </w:pPr>
            <w:r>
              <w:rPr>
                <w:rFonts w:hint="eastAsia" w:asciiTheme="minorEastAsia" w:hAnsiTheme="minorEastAsia"/>
                <w:color w:val="000000"/>
                <w:szCs w:val="21"/>
              </w:rPr>
              <w:t>▲（7）、语文学科工具需提供成语词典功能，通过搜索关键字的方式即可查找成语，并可显示该成语的意思、出处、组词、拼音等，为方便向学生展示，学科工具支持一键全屏播放。需提供拼音教学工具，可实现声母韵母的读音（包含一声、二声、三声、四声）、拼音的笔画顺序演示等。</w:t>
            </w:r>
          </w:p>
          <w:p>
            <w:pPr>
              <w:jc w:val="left"/>
              <w:rPr>
                <w:rFonts w:asciiTheme="minorEastAsia" w:hAnsiTheme="minorEastAsia"/>
                <w:color w:val="000000"/>
                <w:szCs w:val="21"/>
              </w:rPr>
            </w:pPr>
            <w:r>
              <w:rPr>
                <w:rFonts w:hint="eastAsia" w:asciiTheme="minorEastAsia" w:hAnsiTheme="minorEastAsia"/>
                <w:color w:val="000000"/>
                <w:szCs w:val="21"/>
              </w:rPr>
              <w:t>▲（8）、生物学科工具需提供显微镜功能，模拟实物显微镜，可以进行装片展示，物镜目镜调整及旋转聚焦等操作。为方便向学生展示，学科工具支持一键全屏播放。</w:t>
            </w:r>
          </w:p>
          <w:p>
            <w:pPr>
              <w:jc w:val="left"/>
              <w:rPr>
                <w:rFonts w:asciiTheme="minorEastAsia" w:hAnsiTheme="minorEastAsia"/>
                <w:color w:val="000000"/>
                <w:szCs w:val="21"/>
              </w:rPr>
            </w:pPr>
            <w:r>
              <w:rPr>
                <w:rFonts w:hint="eastAsia" w:asciiTheme="minorEastAsia" w:hAnsiTheme="minorEastAsia"/>
                <w:color w:val="000000"/>
                <w:szCs w:val="21"/>
              </w:rPr>
              <w:t>▲（9）历史学科工具需提供朝代更替动画演示，包含每个朝代的世系表、疆域图、朝代简介等；丝绸之路工具，可实现丝绸之路的线路动画演示。战国经济工具，可展现战国冶铁中心、水浇地、煮盐中心、商业中心等。</w:t>
            </w:r>
          </w:p>
          <w:p>
            <w:pPr>
              <w:jc w:val="left"/>
              <w:rPr>
                <w:rFonts w:asciiTheme="minorEastAsia" w:hAnsiTheme="minorEastAsia"/>
                <w:color w:val="000000"/>
                <w:szCs w:val="21"/>
              </w:rPr>
            </w:pPr>
            <w:r>
              <w:rPr>
                <w:rFonts w:hint="eastAsia" w:asciiTheme="minorEastAsia" w:hAnsiTheme="minorEastAsia"/>
                <w:color w:val="000000"/>
                <w:szCs w:val="21"/>
              </w:rPr>
              <w:t>▲（10）、物理学科工具需提供力学、电学、电磁学、光学、电学图例等多种类型的实验素材，如弹簧、小车、游标卡尺、木棒、刻度尺、凹槽、安培表、伏特表、开关、滑动变阻器等。</w:t>
            </w:r>
          </w:p>
          <w:p>
            <w:pPr>
              <w:jc w:val="left"/>
              <w:rPr>
                <w:rFonts w:asciiTheme="minorEastAsia" w:hAnsiTheme="minorEastAsia"/>
                <w:color w:val="000000"/>
                <w:szCs w:val="21"/>
              </w:rPr>
            </w:pPr>
            <w:r>
              <w:rPr>
                <w:rFonts w:hint="eastAsia" w:asciiTheme="minorEastAsia" w:hAnsiTheme="minorEastAsia"/>
                <w:color w:val="000000"/>
                <w:szCs w:val="21"/>
              </w:rPr>
              <w:t>▲（11）、音乐学科工具需至少提供电子琴、架子鼓、吉他等多种教具。为方便学生操作，学科工具支持一键全屏播放。</w:t>
            </w:r>
          </w:p>
          <w:p>
            <w:pPr>
              <w:jc w:val="left"/>
              <w:rPr>
                <w:rFonts w:asciiTheme="minorEastAsia" w:hAnsiTheme="minorEastAsia"/>
                <w:color w:val="000000"/>
                <w:szCs w:val="21"/>
              </w:rPr>
            </w:pPr>
            <w:r>
              <w:rPr>
                <w:rFonts w:hint="eastAsia" w:asciiTheme="minorEastAsia" w:hAnsiTheme="minorEastAsia"/>
                <w:color w:val="000000"/>
                <w:szCs w:val="21"/>
              </w:rPr>
              <w:t>▲（12）、地理学科工具需提供地球仪功能，模拟实物地球仪可以进行旋转，也可调整地球仪显示类型，如全球气候、国家、地形等；提供太阳系图示，可显示不同视角、黄白交角、地球晨昏线、可选择仅显示地月图示；为方便向学生展示，支持一键全屏播放。</w:t>
            </w:r>
          </w:p>
          <w:p>
            <w:pPr>
              <w:jc w:val="left"/>
              <w:rPr>
                <w:rFonts w:asciiTheme="minorEastAsia" w:hAnsiTheme="minorEastAsia"/>
                <w:color w:val="000000"/>
                <w:szCs w:val="21"/>
              </w:rPr>
            </w:pPr>
            <w:r>
              <w:rPr>
                <w:rFonts w:hint="eastAsia" w:asciiTheme="minorEastAsia" w:hAnsiTheme="minorEastAsia"/>
                <w:color w:val="000000"/>
                <w:szCs w:val="21"/>
              </w:rPr>
              <w:t>▲（13）、化学学科工具需提供化学器械、化学器皿等多种实验素材，如烧杯、酒精灯、铁架台、玻璃棒、砝码、U型管；提供化学元素周期表工具。</w:t>
            </w:r>
          </w:p>
          <w:p>
            <w:pPr>
              <w:jc w:val="left"/>
              <w:rPr>
                <w:rFonts w:asciiTheme="minorEastAsia" w:hAnsiTheme="minorEastAsia"/>
                <w:color w:val="000000"/>
                <w:szCs w:val="21"/>
              </w:rPr>
            </w:pPr>
            <w:r>
              <w:rPr>
                <w:rFonts w:hint="eastAsia" w:asciiTheme="minorEastAsia" w:hAnsiTheme="minorEastAsia"/>
                <w:color w:val="000000"/>
                <w:szCs w:val="21"/>
              </w:rPr>
              <w:t>▲（14）、仿真实验:具备总数不少于450个,涵盖K-12年级科学、初高中物理、化学、生物等学科的本地仿真实验资源，仿真实验包括实验目的、实验原理、实验器材、注意事项、实验演示、开始实验、实验检测、实验应用等环节，为方便向学生展示及操作，仿真实验支持一键全屏播放。（需提供仿真实验软件著作权证书，仿真实验软件著作权和平板生产厂家为同一公司，以保证软件稳定性及后期软件升级）。</w:t>
            </w:r>
          </w:p>
          <w:p>
            <w:pPr>
              <w:jc w:val="left"/>
              <w:rPr>
                <w:rFonts w:asciiTheme="minorEastAsia" w:hAnsiTheme="minorEastAsia"/>
                <w:color w:val="000000"/>
                <w:szCs w:val="21"/>
              </w:rPr>
            </w:pPr>
            <w:r>
              <w:rPr>
                <w:rFonts w:hint="eastAsia" w:asciiTheme="minorEastAsia" w:hAnsiTheme="minorEastAsia"/>
                <w:color w:val="000000"/>
                <w:szCs w:val="21"/>
              </w:rPr>
              <w:t>（15）一键进行备、授课场景切换。</w:t>
            </w:r>
          </w:p>
          <w:p>
            <w:pPr>
              <w:jc w:val="left"/>
              <w:rPr>
                <w:rFonts w:asciiTheme="minorEastAsia" w:hAnsiTheme="minorEastAsia"/>
                <w:color w:val="000000"/>
                <w:szCs w:val="21"/>
              </w:rPr>
            </w:pPr>
            <w:r>
              <w:rPr>
                <w:rFonts w:hint="eastAsia"/>
                <w:sz w:val="22"/>
              </w:rPr>
              <w:t>▲</w:t>
            </w:r>
            <w:r>
              <w:rPr>
                <w:rFonts w:hint="eastAsia" w:asciiTheme="minorEastAsia" w:hAnsiTheme="minorEastAsia"/>
                <w:color w:val="000000"/>
                <w:szCs w:val="21"/>
              </w:rPr>
              <w:t>（16）书写工具:至少提供硬笔、智能笔、荧光笔、激光笔、软笔、纹理笔、图章笔、手势笔等不少于9种书写工具。通过智能笔可以识别平面二维图形；纹理笔可以实现刮奖效果，擦涂即可呈现图案，增加教学趣味性；利用图章笔可以对学生进行评价，如点赞、小红花、笑脸、奖章等多种效果；老师可通过手势笔实现多种手势教学，如圈选即可识别为选中对象，画圆即可识别为聚光灯，画方形为放大镜功能，左右划线为前后翻页等，为方便老师快速掌握，在点击手势笔功能时，笔工具栏提供图例操作说明。</w:t>
            </w:r>
          </w:p>
          <w:p>
            <w:pPr>
              <w:jc w:val="left"/>
              <w:rPr>
                <w:rFonts w:asciiTheme="minorEastAsia" w:hAnsiTheme="minorEastAsia"/>
                <w:color w:val="000000"/>
                <w:szCs w:val="21"/>
              </w:rPr>
            </w:pPr>
            <w:r>
              <w:rPr>
                <w:rFonts w:hint="eastAsia" w:asciiTheme="minorEastAsia" w:hAnsiTheme="minorEastAsia"/>
                <w:color w:val="000000"/>
                <w:szCs w:val="21"/>
              </w:rPr>
              <w:t>（17）自动识别粗细笔：不借助菜单切换，根据接触面积，自动识别粗细笔笔迹，方便教师板书及批注重点；</w:t>
            </w:r>
          </w:p>
          <w:p>
            <w:pPr>
              <w:jc w:val="left"/>
              <w:rPr>
                <w:rFonts w:asciiTheme="minorEastAsia" w:hAnsiTheme="minorEastAsia"/>
                <w:color w:val="000000"/>
                <w:szCs w:val="21"/>
              </w:rPr>
            </w:pPr>
            <w:r>
              <w:rPr>
                <w:rFonts w:hint="eastAsia" w:asciiTheme="minorEastAsia" w:hAnsiTheme="minorEastAsia"/>
                <w:color w:val="000000"/>
                <w:szCs w:val="21"/>
              </w:rPr>
              <w:t>（18）工具箱：提供不少于12个老师教学的辅助工具，例如数学作图工具(直尺、圆规、三角板等)、聚光灯、放大镜、屏幕截图、展台、草稿纸等；</w:t>
            </w:r>
          </w:p>
          <w:p>
            <w:pPr>
              <w:jc w:val="left"/>
              <w:rPr>
                <w:rFonts w:asciiTheme="minorEastAsia" w:hAnsiTheme="minorEastAsia"/>
                <w:color w:val="000000"/>
                <w:szCs w:val="21"/>
              </w:rPr>
            </w:pPr>
            <w:r>
              <w:rPr>
                <w:rFonts w:hint="eastAsia" w:asciiTheme="minorEastAsia" w:hAnsiTheme="minorEastAsia"/>
                <w:color w:val="000000"/>
                <w:szCs w:val="21"/>
              </w:rPr>
              <w:t>（19）PPT课件批注功能：PPT全屏播放时可自动开启工具菜单，提供PPT课件的播放控制(如前后翻页)、聚光灯、放大镜、草稿纸和书写批注等功能,支持生成二维码，快速分享课件。</w:t>
            </w:r>
          </w:p>
          <w:p>
            <w:pPr>
              <w:jc w:val="left"/>
              <w:rPr>
                <w:rFonts w:asciiTheme="minorEastAsia" w:hAnsiTheme="minorEastAsia"/>
                <w:color w:val="000000"/>
                <w:szCs w:val="21"/>
              </w:rPr>
            </w:pPr>
            <w:r>
              <w:rPr>
                <w:rFonts w:hint="eastAsia" w:asciiTheme="minorEastAsia" w:hAnsiTheme="minorEastAsia"/>
                <w:color w:val="000000"/>
                <w:szCs w:val="21"/>
              </w:rPr>
              <w:t>（20）多屏互动功能：支持手机、pad移动端与交互平板连接后，可实现常用功能如影像上传、投屏、播放课件、直播。支持对上传的图片内容再次编辑如裁剪、马赛克等操作，可同时上传多张照片进行同屏对比，双向批注；手机与交互平板电脑画面双向互传，可实现手机实时控制、随时批注交互平板电脑桌面；支持播放电脑桌面的ppt课件；还可实现手机移动直播功能； u盘文件直读、一键切换电脑窗口文件、模拟鼠标等功能；，方便教师及时分享各类资源。</w:t>
            </w:r>
          </w:p>
          <w:p>
            <w:pPr>
              <w:jc w:val="left"/>
              <w:rPr>
                <w:rFonts w:asciiTheme="minorEastAsia" w:hAnsiTheme="minorEastAsia"/>
                <w:color w:val="000000"/>
                <w:szCs w:val="21"/>
              </w:rPr>
            </w:pPr>
            <w:r>
              <w:rPr>
                <w:rFonts w:hint="eastAsia" w:asciiTheme="minorEastAsia" w:hAnsiTheme="minorEastAsia"/>
                <w:color w:val="000000"/>
                <w:szCs w:val="21"/>
              </w:rPr>
              <w:t>（21）为方便老师应用，提供与所投产品相关的微信公众号学习交流及售后平台，老师可通过关注厂家微信公众号在线自主学习产品使用，也可通过公众号在线提问及产品的报修；</w:t>
            </w:r>
          </w:p>
          <w:p>
            <w:pPr>
              <w:jc w:val="left"/>
              <w:rPr>
                <w:rFonts w:asciiTheme="minorEastAsia" w:hAnsiTheme="minorEastAsia"/>
                <w:color w:val="000000"/>
                <w:szCs w:val="21"/>
              </w:rPr>
            </w:pPr>
            <w:r>
              <w:rPr>
                <w:rFonts w:hint="eastAsia" w:asciiTheme="minorEastAsia" w:hAnsiTheme="minorEastAsia"/>
                <w:color w:val="000000"/>
                <w:szCs w:val="21"/>
              </w:rPr>
              <w:t>3、资源平台</w:t>
            </w:r>
          </w:p>
          <w:p>
            <w:pPr>
              <w:jc w:val="left"/>
              <w:rPr>
                <w:rFonts w:asciiTheme="minorEastAsia" w:hAnsiTheme="minorEastAsia"/>
                <w:color w:val="000000"/>
                <w:szCs w:val="21"/>
              </w:rPr>
            </w:pPr>
            <w:r>
              <w:rPr>
                <w:rFonts w:hint="eastAsia" w:asciiTheme="minorEastAsia" w:hAnsiTheme="minorEastAsia"/>
                <w:color w:val="000000"/>
                <w:szCs w:val="21"/>
              </w:rPr>
              <w:t>（1）资料库</w:t>
            </w:r>
          </w:p>
          <w:p>
            <w:pPr>
              <w:jc w:val="left"/>
              <w:rPr>
                <w:rFonts w:asciiTheme="minorEastAsia" w:hAnsiTheme="minorEastAsia"/>
                <w:color w:val="000000"/>
                <w:szCs w:val="21"/>
              </w:rPr>
            </w:pPr>
            <w:r>
              <w:rPr>
                <w:rFonts w:hint="eastAsia" w:asciiTheme="minorEastAsia" w:hAnsiTheme="minorEastAsia"/>
                <w:color w:val="000000"/>
                <w:szCs w:val="21"/>
              </w:rPr>
              <w:t>网络学科资源:具备丰富的学科资源，包括人教、北师大、苏教等30多个主流教材版本;支持按年级、版本、学科、章节等分类方式进行查找；支持资源下载及一键插入白板页面使用。</w:t>
            </w:r>
          </w:p>
          <w:p>
            <w:pPr>
              <w:jc w:val="left"/>
              <w:rPr>
                <w:rFonts w:asciiTheme="minorEastAsia" w:hAnsiTheme="minorEastAsia"/>
                <w:color w:val="000000"/>
                <w:szCs w:val="21"/>
              </w:rPr>
            </w:pPr>
            <w:r>
              <w:rPr>
                <w:rFonts w:hint="eastAsia" w:asciiTheme="minorEastAsia" w:hAnsiTheme="minorEastAsia"/>
                <w:color w:val="000000"/>
                <w:szCs w:val="21"/>
              </w:rPr>
              <w:t>a.小学资源库</w:t>
            </w:r>
          </w:p>
          <w:p>
            <w:pPr>
              <w:jc w:val="left"/>
              <w:rPr>
                <w:rFonts w:asciiTheme="minorEastAsia" w:hAnsiTheme="minorEastAsia"/>
                <w:color w:val="000000"/>
                <w:szCs w:val="21"/>
              </w:rPr>
            </w:pPr>
            <w:r>
              <w:rPr>
                <w:rFonts w:hint="eastAsia" w:asciiTheme="minorEastAsia" w:hAnsiTheme="minorEastAsia"/>
                <w:color w:val="000000"/>
                <w:szCs w:val="21"/>
              </w:rPr>
              <w:t>小学资源库每个学科均包括：教学目标、教学建议、教案示例、扩展资料、习题精选、动画类、课件类、视频类、音频类、图片类等栏目。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资源覆盖小学语文、数学、英语、品德与生活/社会、科学、音乐、美术、信息技术等学科。</w:t>
            </w:r>
          </w:p>
          <w:p>
            <w:pPr>
              <w:jc w:val="left"/>
              <w:rPr>
                <w:rFonts w:asciiTheme="minorEastAsia" w:hAnsiTheme="minorEastAsia"/>
                <w:color w:val="000000"/>
                <w:szCs w:val="21"/>
              </w:rPr>
            </w:pPr>
            <w:r>
              <w:rPr>
                <w:rFonts w:hint="eastAsia" w:asciiTheme="minorEastAsia" w:hAnsiTheme="minorEastAsia"/>
                <w:color w:val="000000"/>
                <w:szCs w:val="21"/>
              </w:rPr>
              <w:t>b.初中资源库</w:t>
            </w:r>
          </w:p>
          <w:p>
            <w:pPr>
              <w:jc w:val="left"/>
              <w:rPr>
                <w:rFonts w:asciiTheme="minorEastAsia" w:hAnsiTheme="minorEastAsia"/>
                <w:color w:val="000000"/>
                <w:szCs w:val="21"/>
              </w:rPr>
            </w:pPr>
            <w:r>
              <w:rPr>
                <w:rFonts w:hint="eastAsia" w:asciiTheme="minorEastAsia" w:hAnsiTheme="minorEastAsia"/>
                <w:color w:val="000000"/>
                <w:szCs w:val="21"/>
              </w:rPr>
              <w:t>初中资源库每个学科均包括：教学目标、教学建议、教案示例、扩展资料、习题精选、动画类、课件类、视频类、音频类、图片类等栏目。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资源覆盖初中语文、数学、英语、物理、化学、生物、历史、地理、思想品德、科学、音乐、美术、信息技术等学科。</w:t>
            </w:r>
          </w:p>
          <w:p>
            <w:pPr>
              <w:jc w:val="left"/>
              <w:rPr>
                <w:rFonts w:asciiTheme="minorEastAsia" w:hAnsiTheme="minorEastAsia"/>
                <w:color w:val="000000"/>
                <w:szCs w:val="21"/>
              </w:rPr>
            </w:pPr>
            <w:r>
              <w:rPr>
                <w:rFonts w:hint="eastAsia" w:asciiTheme="minorEastAsia" w:hAnsiTheme="minorEastAsia"/>
                <w:color w:val="000000"/>
                <w:szCs w:val="21"/>
              </w:rPr>
              <w:t>c.高中资源库</w:t>
            </w:r>
          </w:p>
          <w:p>
            <w:pPr>
              <w:jc w:val="left"/>
              <w:rPr>
                <w:rFonts w:asciiTheme="minorEastAsia" w:hAnsiTheme="minorEastAsia"/>
                <w:color w:val="000000"/>
                <w:szCs w:val="21"/>
              </w:rPr>
            </w:pPr>
            <w:r>
              <w:rPr>
                <w:rFonts w:hint="eastAsia" w:asciiTheme="minorEastAsia" w:hAnsiTheme="minorEastAsia"/>
                <w:color w:val="000000"/>
                <w:szCs w:val="21"/>
              </w:rPr>
              <w:t>高中资源库每个学科均包括：教学目标、教学建议、教案示例、扩展资料、习题精选、动画类、课件类、视频类、音频类、图片类等栏目。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资源覆盖高中语文、数学、英语、物理、化学、生物、历史、地理、思想政治、音乐、美术、信息技术等学科。</w:t>
            </w:r>
          </w:p>
          <w:p>
            <w:pPr>
              <w:jc w:val="left"/>
              <w:rPr>
                <w:rFonts w:asciiTheme="minorEastAsia" w:hAnsiTheme="minorEastAsia"/>
                <w:color w:val="000000"/>
                <w:szCs w:val="21"/>
              </w:rPr>
            </w:pPr>
            <w:r>
              <w:rPr>
                <w:rFonts w:hint="eastAsia" w:asciiTheme="minorEastAsia" w:hAnsiTheme="minorEastAsia"/>
                <w:color w:val="000000"/>
                <w:szCs w:val="21"/>
              </w:rPr>
              <w:t>d.中职资源库</w:t>
            </w:r>
          </w:p>
          <w:p>
            <w:pPr>
              <w:jc w:val="left"/>
              <w:rPr>
                <w:rFonts w:asciiTheme="minorEastAsia" w:hAnsiTheme="minorEastAsia"/>
                <w:color w:val="000000"/>
                <w:szCs w:val="21"/>
              </w:rPr>
            </w:pPr>
            <w:r>
              <w:rPr>
                <w:rFonts w:hint="eastAsia" w:asciiTheme="minorEastAsia" w:hAnsiTheme="minorEastAsia"/>
                <w:color w:val="000000"/>
                <w:szCs w:val="21"/>
              </w:rPr>
              <w:t>中职资源库每个学科均包括：教案示例、习题精选、动画类、课件类、视频类、音频类、图片类等栏目。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农林牧渔类、资源环境类、能源与新能源类、土木水利类、加工制造类、石油化工类、轻纺食品类、交通运输类、信息技术类、医药卫生类、休闲保健类、财经商贸类、旅游服务类、文化艺术类、体育与健身类、教育类、司法服务类、公共管理与服务类等18个类别。</w:t>
            </w:r>
          </w:p>
          <w:p>
            <w:pPr>
              <w:jc w:val="left"/>
              <w:rPr>
                <w:rFonts w:asciiTheme="minorEastAsia" w:hAnsiTheme="minorEastAsia"/>
                <w:color w:val="000000"/>
                <w:szCs w:val="21"/>
              </w:rPr>
            </w:pPr>
            <w:r>
              <w:rPr>
                <w:rFonts w:hint="eastAsia" w:asciiTheme="minorEastAsia" w:hAnsiTheme="minorEastAsia"/>
                <w:color w:val="000000"/>
                <w:szCs w:val="21"/>
              </w:rPr>
              <w:t>e.高职资源库</w:t>
            </w:r>
          </w:p>
          <w:p>
            <w:pPr>
              <w:jc w:val="left"/>
              <w:rPr>
                <w:rFonts w:asciiTheme="minorEastAsia" w:hAnsiTheme="minorEastAsia"/>
                <w:color w:val="000000"/>
                <w:szCs w:val="21"/>
              </w:rPr>
            </w:pPr>
            <w:r>
              <w:rPr>
                <w:rFonts w:hint="eastAsia" w:asciiTheme="minorEastAsia" w:hAnsiTheme="minorEastAsia"/>
                <w:color w:val="000000"/>
                <w:szCs w:val="21"/>
              </w:rPr>
              <w:t>高职资源库每个学科均包括：教案示例、习题精选、动画类、课件类、视频类、音频类、图片类等栏目。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资源覆盖材料与能源、财经、法律、旅游、文化教育、医药卫生、艺术设计传媒等7个类别。</w:t>
            </w:r>
          </w:p>
          <w:p>
            <w:pPr>
              <w:jc w:val="left"/>
              <w:rPr>
                <w:rFonts w:asciiTheme="minorEastAsia" w:hAnsiTheme="minorEastAsia"/>
                <w:color w:val="000000"/>
                <w:szCs w:val="21"/>
              </w:rPr>
            </w:pPr>
            <w:r>
              <w:rPr>
                <w:rFonts w:hint="eastAsia"/>
                <w:sz w:val="22"/>
              </w:rPr>
              <w:t>▲</w:t>
            </w:r>
            <w:r>
              <w:rPr>
                <w:rFonts w:hint="eastAsia" w:asciiTheme="minorEastAsia" w:hAnsiTheme="minorEastAsia"/>
                <w:color w:val="000000"/>
                <w:szCs w:val="21"/>
              </w:rPr>
              <w:t>（2）数字教材: 免费提供正版人民教育出版社数字教材使用权一年，数字教材覆盖小学、初中、高中三个学段各个年级各个学科；数字教材内容能根据中小学教材内容的变化随时更新与补充；</w:t>
            </w:r>
          </w:p>
          <w:p>
            <w:pPr>
              <w:jc w:val="left"/>
              <w:rPr>
                <w:rFonts w:asciiTheme="minorEastAsia" w:hAnsiTheme="minorEastAsia"/>
                <w:color w:val="000000"/>
                <w:szCs w:val="21"/>
              </w:rPr>
            </w:pPr>
            <w:r>
              <w:rPr>
                <w:rFonts w:hint="eastAsia" w:asciiTheme="minorEastAsia" w:hAnsiTheme="minorEastAsia"/>
                <w:color w:val="000000"/>
                <w:szCs w:val="21"/>
              </w:rPr>
              <w:t>（3）学科题库资源：提供丰富的学科试题库，支持教师自定义题目，能够自定义单选、多选、判断、解答等多种类型题目。学科试题库提供按学科知识点与学科教材目录同步检索方式，方便教师使用。</w:t>
            </w:r>
          </w:p>
          <w:p>
            <w:pPr>
              <w:jc w:val="left"/>
              <w:rPr>
                <w:rFonts w:asciiTheme="minorEastAsia" w:hAnsiTheme="minorEastAsia"/>
                <w:color w:val="000000"/>
                <w:szCs w:val="21"/>
              </w:rPr>
            </w:pPr>
            <w:r>
              <w:rPr>
                <w:rFonts w:hint="eastAsia" w:asciiTheme="minorEastAsia" w:hAnsiTheme="minorEastAsia"/>
                <w:color w:val="000000"/>
                <w:szCs w:val="21"/>
              </w:rPr>
              <w:t>4、数学备授课工具</w:t>
            </w:r>
          </w:p>
          <w:p>
            <w:pPr>
              <w:jc w:val="left"/>
              <w:rPr>
                <w:rFonts w:asciiTheme="minorEastAsia" w:hAnsiTheme="minorEastAsia"/>
                <w:color w:val="000000"/>
                <w:szCs w:val="21"/>
              </w:rPr>
            </w:pPr>
            <w:r>
              <w:rPr>
                <w:rFonts w:hint="eastAsia" w:asciiTheme="minorEastAsia" w:hAnsiTheme="minorEastAsia"/>
                <w:color w:val="000000"/>
                <w:szCs w:val="21"/>
              </w:rPr>
              <w:t>（1）登录方式：支持微信扫码登录，注册后绑定微信，可方便老师在大屏上登录，无需键盘输入密码。</w:t>
            </w:r>
          </w:p>
          <w:p>
            <w:pPr>
              <w:jc w:val="left"/>
              <w:rPr>
                <w:rFonts w:asciiTheme="minorEastAsia" w:hAnsiTheme="minorEastAsia"/>
                <w:color w:val="000000"/>
                <w:szCs w:val="21"/>
              </w:rPr>
            </w:pPr>
            <w:r>
              <w:rPr>
                <w:rFonts w:hint="eastAsia" w:asciiTheme="minorEastAsia" w:hAnsiTheme="minorEastAsia"/>
                <w:color w:val="000000"/>
                <w:szCs w:val="21"/>
              </w:rPr>
              <w:t>（2）实时保存：课件制作过程中实时保存到云端，避免因断电关机、死机等问题而导致课件制作过程中的遗失问题。</w:t>
            </w:r>
          </w:p>
          <w:p>
            <w:pPr>
              <w:jc w:val="left"/>
              <w:rPr>
                <w:rFonts w:asciiTheme="minorEastAsia" w:hAnsiTheme="minorEastAsia"/>
                <w:color w:val="000000"/>
                <w:szCs w:val="21"/>
              </w:rPr>
            </w:pPr>
            <w:r>
              <w:rPr>
                <w:rFonts w:hint="eastAsia" w:asciiTheme="minorEastAsia" w:hAnsiTheme="minorEastAsia"/>
                <w:color w:val="000000"/>
                <w:szCs w:val="21"/>
              </w:rPr>
              <w:t>（3）课件云端同步：所有制作的课件均可云端保存，无需使用U盘等设备，老师只需要登陆即可查看，无需随身携带U盘，并解决了电脑存储小以及更换设备等问题。</w:t>
            </w:r>
          </w:p>
          <w:p>
            <w:pPr>
              <w:jc w:val="left"/>
              <w:rPr>
                <w:rFonts w:asciiTheme="minorEastAsia" w:hAnsiTheme="minorEastAsia"/>
                <w:color w:val="000000"/>
                <w:szCs w:val="21"/>
              </w:rPr>
            </w:pPr>
            <w:r>
              <w:rPr>
                <w:rFonts w:hint="eastAsia" w:asciiTheme="minorEastAsia" w:hAnsiTheme="minorEastAsia"/>
                <w:color w:val="000000"/>
                <w:szCs w:val="21"/>
              </w:rPr>
              <w:t>（4）离线模式：在无网络环境下，通过提前安装的桌面端依然可以播放已下载的课件，无网络教室也可以使用授课。</w:t>
            </w:r>
          </w:p>
          <w:p>
            <w:pPr>
              <w:jc w:val="left"/>
              <w:rPr>
                <w:rFonts w:asciiTheme="minorEastAsia" w:hAnsiTheme="minorEastAsia"/>
                <w:color w:val="000000"/>
                <w:szCs w:val="21"/>
              </w:rPr>
            </w:pPr>
            <w:r>
              <w:rPr>
                <w:rFonts w:hint="eastAsia" w:asciiTheme="minorEastAsia" w:hAnsiTheme="minorEastAsia"/>
                <w:color w:val="000000"/>
                <w:szCs w:val="21"/>
              </w:rPr>
              <w:t>（5）课件背景：提供16种背景颜色可供选择，每页课件可设计不同颜色。</w:t>
            </w:r>
          </w:p>
          <w:p>
            <w:pPr>
              <w:jc w:val="left"/>
              <w:rPr>
                <w:rFonts w:asciiTheme="minorEastAsia" w:hAnsiTheme="minorEastAsia"/>
                <w:color w:val="000000"/>
                <w:szCs w:val="21"/>
              </w:rPr>
            </w:pPr>
            <w:r>
              <w:rPr>
                <w:rFonts w:hint="eastAsia" w:asciiTheme="minorEastAsia" w:hAnsiTheme="minorEastAsia"/>
                <w:color w:val="000000"/>
                <w:szCs w:val="21"/>
              </w:rPr>
              <w:t>（6）文本框：支持文本输入并快速设置四种字体：微软雅黑、宋体、黑体、英文字体；可快速调整字体大小、颜色、粗体、斜体、下划线、项目符号、方程式等复杂文本的输入。可设置文本的对齐方式，支持1倍、1.5倍、2倍行间距的设置。提供5种文本框样式，可对边框线条样式及颜色进行选择。支持0~100调整透明度。</w:t>
            </w:r>
          </w:p>
          <w:p>
            <w:pPr>
              <w:jc w:val="left"/>
              <w:rPr>
                <w:rFonts w:asciiTheme="minorEastAsia" w:hAnsiTheme="minorEastAsia"/>
                <w:color w:val="000000"/>
                <w:szCs w:val="21"/>
              </w:rPr>
            </w:pPr>
            <w:r>
              <w:rPr>
                <w:rFonts w:hint="eastAsia" w:asciiTheme="minorEastAsia" w:hAnsiTheme="minorEastAsia"/>
                <w:color w:val="000000"/>
                <w:szCs w:val="21"/>
              </w:rPr>
              <w:t>（7）图形编辑：支持直线、箭头、矩形等基本图形，并可以自己动手设计需要的图形。支持对图形对象进行颜色、边框、透明度、大小、角度等属性设置。</w:t>
            </w:r>
          </w:p>
          <w:p>
            <w:pPr>
              <w:jc w:val="left"/>
              <w:rPr>
                <w:rFonts w:asciiTheme="minorEastAsia" w:hAnsiTheme="minorEastAsia"/>
                <w:color w:val="000000"/>
                <w:szCs w:val="21"/>
              </w:rPr>
            </w:pPr>
            <w:r>
              <w:rPr>
                <w:rFonts w:hint="eastAsia" w:asciiTheme="minorEastAsia" w:hAnsiTheme="minorEastAsia"/>
                <w:color w:val="000000"/>
                <w:szCs w:val="21"/>
              </w:rPr>
              <w:t>（8）动画效果：提供7种动画效果：显现、弹入、浮入、翻转、旋转、缩放、橡皮筋，可设计动画顺序效果，可通过翻页或点击触发效果。可修改动画出现的先后顺序。</w:t>
            </w:r>
          </w:p>
          <w:p>
            <w:pPr>
              <w:jc w:val="left"/>
              <w:rPr>
                <w:rFonts w:asciiTheme="minorEastAsia" w:hAnsiTheme="minorEastAsia"/>
                <w:color w:val="000000"/>
                <w:szCs w:val="21"/>
              </w:rPr>
            </w:pPr>
            <w:r>
              <w:rPr>
                <w:rFonts w:hint="eastAsia" w:asciiTheme="minorEastAsia" w:hAnsiTheme="minorEastAsia"/>
                <w:color w:val="000000"/>
                <w:szCs w:val="21"/>
              </w:rPr>
              <w:t>（9）插入：支持图片文件的导入，支持快速插入表格。可在任意课件页中插入新的课件页。</w:t>
            </w:r>
          </w:p>
          <w:p>
            <w:pPr>
              <w:jc w:val="left"/>
              <w:rPr>
                <w:rFonts w:asciiTheme="minorEastAsia" w:hAnsiTheme="minorEastAsia"/>
                <w:color w:val="000000"/>
                <w:szCs w:val="21"/>
              </w:rPr>
            </w:pPr>
            <w:r>
              <w:rPr>
                <w:rFonts w:hint="eastAsia" w:asciiTheme="minorEastAsia" w:hAnsiTheme="minorEastAsia"/>
                <w:color w:val="000000"/>
                <w:szCs w:val="21"/>
              </w:rPr>
              <w:t>（10）图片的编辑：可对插入的图片设置图层顺序，支持调整图片宽高比例，且可以锁定宽高比调整图片大小。可任意设置图片旋转角度、垂直镜像翻转和水平镜像翻转。可对图片设置投影方式以及调整图片透明度。支持上传后随时对图片进行裁剪。</w:t>
            </w:r>
          </w:p>
          <w:p>
            <w:pPr>
              <w:jc w:val="left"/>
              <w:rPr>
                <w:rFonts w:asciiTheme="minorEastAsia" w:hAnsiTheme="minorEastAsia"/>
                <w:color w:val="000000"/>
                <w:szCs w:val="21"/>
              </w:rPr>
            </w:pPr>
            <w:r>
              <w:rPr>
                <w:rFonts w:hint="eastAsia" w:asciiTheme="minorEastAsia" w:hAnsiTheme="minorEastAsia"/>
                <w:color w:val="000000"/>
                <w:szCs w:val="21"/>
              </w:rPr>
              <w:t>（11）数学公式编辑器：可插入高级公式如：普通运算符号、根号、分数、上下角标、不等号、希腊字母、集合运算、逻辑符号、积分符号、求和符号、运算箭头、上下标箭头以及其他常用符号。支持LaTex公式利用代码编辑高级公式等。可快速输入繁分数，支持自动修正数学符号字体。</w:t>
            </w:r>
          </w:p>
          <w:p>
            <w:pPr>
              <w:jc w:val="left"/>
              <w:rPr>
                <w:rFonts w:asciiTheme="minorEastAsia" w:hAnsiTheme="minorEastAsia"/>
                <w:color w:val="000000"/>
                <w:szCs w:val="21"/>
              </w:rPr>
            </w:pPr>
            <w:r>
              <w:rPr>
                <w:rFonts w:hint="eastAsia" w:asciiTheme="minorEastAsia" w:hAnsiTheme="minorEastAsia"/>
                <w:color w:val="000000"/>
                <w:szCs w:val="21"/>
              </w:rPr>
              <w:t>（12）3D绘图：涵盖大部分平面绘图功能，还有平面系列功能，相交曲线系列功能，平面系列功能等，几何体系列功能。可以绘制所有立体几何图形：例如：棱柱，棱锥，展开图，曲线，曲面，相交曲线等可以制作所有动态立体课件，例如：震荡，视图旋转，空间运动，投影等等；指令及功能涵盖：3D指令集合，代数指令集合，几何变换指令集合，函数与微积分指令集合，文本指令集合，向量与矩阵指令集合等等</w:t>
            </w:r>
          </w:p>
          <w:p>
            <w:pPr>
              <w:jc w:val="left"/>
              <w:rPr>
                <w:rFonts w:asciiTheme="minorEastAsia" w:hAnsiTheme="minorEastAsia"/>
                <w:color w:val="000000"/>
                <w:szCs w:val="21"/>
              </w:rPr>
            </w:pPr>
            <w:r>
              <w:rPr>
                <w:rFonts w:hint="eastAsia" w:asciiTheme="minorEastAsia" w:hAnsiTheme="minorEastAsia"/>
                <w:color w:val="000000"/>
                <w:szCs w:val="21"/>
              </w:rPr>
              <w:t>（13）2D动态课件制作工具：</w:t>
            </w:r>
          </w:p>
          <w:p>
            <w:pPr>
              <w:jc w:val="left"/>
              <w:rPr>
                <w:rFonts w:asciiTheme="minorEastAsia" w:hAnsiTheme="minorEastAsia"/>
                <w:color w:val="000000"/>
                <w:szCs w:val="21"/>
              </w:rPr>
            </w:pPr>
            <w:r>
              <w:rPr>
                <w:rFonts w:hint="eastAsia" w:asciiTheme="minorEastAsia" w:hAnsiTheme="minorEastAsia"/>
                <w:color w:val="000000"/>
                <w:szCs w:val="21"/>
              </w:rPr>
              <w:t>①描点系列功能，直线线段系列功能，平行线垂线系列功能，圆系列功能，角度系列功能，对称系列功能，文本系列功能，参数变量系类功能等等；</w:t>
            </w:r>
          </w:p>
          <w:p>
            <w:pPr>
              <w:jc w:val="left"/>
              <w:rPr>
                <w:rFonts w:asciiTheme="minorEastAsia" w:hAnsiTheme="minorEastAsia"/>
                <w:color w:val="000000"/>
                <w:szCs w:val="21"/>
              </w:rPr>
            </w:pPr>
            <w:r>
              <w:rPr>
                <w:rFonts w:hint="eastAsia" w:asciiTheme="minorEastAsia" w:hAnsiTheme="minorEastAsia"/>
                <w:color w:val="000000"/>
                <w:szCs w:val="21"/>
              </w:rPr>
              <w:t>②可以绘制所有平面图形：例如：多边形，圆，圆锥曲线，向量，解析几何函数图形等等；</w:t>
            </w:r>
          </w:p>
          <w:p>
            <w:pPr>
              <w:jc w:val="left"/>
              <w:rPr>
                <w:rFonts w:asciiTheme="minorEastAsia" w:hAnsiTheme="minorEastAsia"/>
                <w:color w:val="000000"/>
                <w:szCs w:val="21"/>
              </w:rPr>
            </w:pPr>
            <w:r>
              <w:rPr>
                <w:rFonts w:hint="eastAsia" w:asciiTheme="minorEastAsia" w:hAnsiTheme="minorEastAsia"/>
                <w:color w:val="000000"/>
                <w:szCs w:val="21"/>
              </w:rPr>
              <w:t>③可以制作所有平面动态课件，也可以制作模拟3D动态课件，例如：翻折，旋转等初级动态效果，迭代，列表等高级动态效果；</w:t>
            </w:r>
          </w:p>
          <w:p>
            <w:pPr>
              <w:jc w:val="left"/>
              <w:rPr>
                <w:rFonts w:asciiTheme="minorEastAsia" w:hAnsiTheme="minorEastAsia"/>
                <w:color w:val="000000"/>
                <w:szCs w:val="21"/>
              </w:rPr>
            </w:pPr>
            <w:r>
              <w:rPr>
                <w:rFonts w:hint="eastAsia" w:asciiTheme="minorEastAsia" w:hAnsiTheme="minorEastAsia"/>
                <w:color w:val="000000"/>
                <w:szCs w:val="21"/>
              </w:rPr>
              <w:t>④指令及功能涵盖：代数指令集合，几何变换指令集合，函数与微积分指令集合，图表指令集合，离散数学指令几何，文本指令集合，向量与矩阵指令集合等等；</w:t>
            </w:r>
          </w:p>
          <w:p>
            <w:pPr>
              <w:jc w:val="left"/>
              <w:rPr>
                <w:rFonts w:asciiTheme="minorEastAsia" w:hAnsiTheme="minorEastAsia"/>
                <w:color w:val="000000"/>
                <w:szCs w:val="21"/>
              </w:rPr>
            </w:pPr>
            <w:r>
              <w:rPr>
                <w:rFonts w:hint="eastAsia" w:asciiTheme="minorEastAsia" w:hAnsiTheme="minorEastAsia"/>
                <w:color w:val="000000"/>
                <w:szCs w:val="21"/>
              </w:rPr>
              <w:t>（14）课件素材：</w:t>
            </w:r>
          </w:p>
          <w:p>
            <w:pPr>
              <w:jc w:val="left"/>
              <w:rPr>
                <w:rFonts w:asciiTheme="minorEastAsia" w:hAnsiTheme="minorEastAsia"/>
                <w:color w:val="000000"/>
                <w:szCs w:val="21"/>
              </w:rPr>
            </w:pPr>
            <w:r>
              <w:rPr>
                <w:rFonts w:hint="eastAsia" w:asciiTheme="minorEastAsia" w:hAnsiTheme="minorEastAsia"/>
                <w:color w:val="000000"/>
                <w:szCs w:val="21"/>
              </w:rPr>
              <w:t>①涵盖初高中数学学科全部章节课件，高质量贴近教学；</w:t>
            </w:r>
          </w:p>
          <w:p>
            <w:pPr>
              <w:jc w:val="left"/>
              <w:rPr>
                <w:rFonts w:asciiTheme="minorEastAsia" w:hAnsiTheme="minorEastAsia"/>
                <w:color w:val="000000"/>
                <w:szCs w:val="21"/>
              </w:rPr>
            </w:pPr>
            <w:r>
              <w:rPr>
                <w:rFonts w:hint="eastAsia" w:asciiTheme="minorEastAsia" w:hAnsiTheme="minorEastAsia"/>
                <w:color w:val="000000"/>
                <w:szCs w:val="21"/>
              </w:rPr>
              <w:t>②素材丰富，支持组选：课堂引入，知识引导与探索，知识辨析与练习，例题与变式，拓展延伸，课堂练习等等，注重知识的形成过程；</w:t>
            </w:r>
          </w:p>
          <w:p>
            <w:pPr>
              <w:jc w:val="left"/>
              <w:rPr>
                <w:rFonts w:asciiTheme="minorEastAsia" w:hAnsiTheme="minorEastAsia"/>
                <w:color w:val="000000"/>
                <w:szCs w:val="21"/>
              </w:rPr>
            </w:pPr>
            <w:r>
              <w:rPr>
                <w:rFonts w:hint="eastAsia" w:asciiTheme="minorEastAsia" w:hAnsiTheme="minorEastAsia"/>
                <w:color w:val="000000"/>
                <w:szCs w:val="21"/>
              </w:rPr>
              <w:t>③内置上千个制作完成的动态课件，可直接选用插入到课件中；</w:t>
            </w:r>
          </w:p>
          <w:p>
            <w:pPr>
              <w:jc w:val="left"/>
              <w:rPr>
                <w:rFonts w:asciiTheme="minorEastAsia" w:hAnsiTheme="minorEastAsia"/>
                <w:color w:val="000000"/>
                <w:szCs w:val="21"/>
              </w:rPr>
            </w:pPr>
            <w:r>
              <w:rPr>
                <w:rFonts w:hint="eastAsia" w:asciiTheme="minorEastAsia" w:hAnsiTheme="minorEastAsia"/>
                <w:color w:val="000000"/>
                <w:szCs w:val="21"/>
              </w:rPr>
              <w:t>（15）题库：课件支持插入题库功能。并可定位教材版本，知识点；支持选择题型和试题难度；题库内容添加进课件之后，还可以对文本和公式进行二次编辑。题中公式均采用LaTex公式编写，支持老师进行改编；题库来源：历年中高考真题、各省市或学校考试真题，以及主流教辅书的习题精选。题库总量高达20万道。</w:t>
            </w:r>
          </w:p>
          <w:p>
            <w:pPr>
              <w:jc w:val="left"/>
              <w:rPr>
                <w:rFonts w:asciiTheme="minorEastAsia" w:hAnsiTheme="minorEastAsia"/>
                <w:color w:val="000000"/>
                <w:szCs w:val="21"/>
              </w:rPr>
            </w:pPr>
            <w:r>
              <w:rPr>
                <w:rFonts w:hint="eastAsia" w:asciiTheme="minorEastAsia" w:hAnsiTheme="minorEastAsia"/>
                <w:color w:val="000000"/>
                <w:szCs w:val="21"/>
              </w:rPr>
              <w:t>（16）课件播放：</w:t>
            </w:r>
          </w:p>
          <w:p>
            <w:pPr>
              <w:jc w:val="left"/>
              <w:rPr>
                <w:rFonts w:asciiTheme="minorEastAsia" w:hAnsiTheme="minorEastAsia"/>
                <w:color w:val="000000"/>
                <w:szCs w:val="21"/>
              </w:rPr>
            </w:pPr>
            <w:r>
              <w:rPr>
                <w:rFonts w:hint="eastAsia" w:asciiTheme="minorEastAsia" w:hAnsiTheme="minorEastAsia"/>
                <w:color w:val="000000"/>
                <w:szCs w:val="21"/>
              </w:rPr>
              <w:t>①备授课一体化，并加以区分，进入产品后默认进入编辑备课页面，当点击播放后即可进行授课，符合用户使用需求</w:t>
            </w:r>
          </w:p>
          <w:p>
            <w:pPr>
              <w:jc w:val="left"/>
              <w:rPr>
                <w:rFonts w:asciiTheme="minorEastAsia" w:hAnsiTheme="minorEastAsia"/>
                <w:color w:val="000000"/>
                <w:szCs w:val="21"/>
              </w:rPr>
            </w:pPr>
            <w:r>
              <w:rPr>
                <w:rFonts w:hint="eastAsia" w:asciiTheme="minorEastAsia" w:hAnsiTheme="minorEastAsia"/>
                <w:color w:val="000000"/>
                <w:szCs w:val="21"/>
              </w:rPr>
              <w:t>②可通过点击或触摸屏幕实现动画的显示和翻页，同时支持支持翻页笔。</w:t>
            </w:r>
          </w:p>
          <w:p>
            <w:pPr>
              <w:jc w:val="left"/>
              <w:rPr>
                <w:rFonts w:asciiTheme="minorEastAsia" w:hAnsiTheme="minorEastAsia"/>
                <w:color w:val="000000"/>
                <w:szCs w:val="21"/>
              </w:rPr>
            </w:pPr>
            <w:r>
              <w:rPr>
                <w:rFonts w:hint="eastAsia" w:asciiTheme="minorEastAsia" w:hAnsiTheme="minorEastAsia"/>
                <w:color w:val="000000"/>
                <w:szCs w:val="21"/>
              </w:rPr>
              <w:t>③播放过程中可对页面放大。支持手写标注圈选功能，配合四种颜色画笔，可在课件中任意绘画，且可以用橡皮擦功能部分擦除和一键擦除。</w:t>
            </w:r>
          </w:p>
          <w:p>
            <w:pPr>
              <w:jc w:val="left"/>
              <w:rPr>
                <w:rFonts w:asciiTheme="minorEastAsia" w:hAnsiTheme="minorEastAsia"/>
                <w:color w:val="000000"/>
                <w:szCs w:val="21"/>
              </w:rPr>
            </w:pPr>
            <w:r>
              <w:rPr>
                <w:rFonts w:hint="eastAsia" w:asciiTheme="minorEastAsia" w:hAnsiTheme="minorEastAsia"/>
                <w:color w:val="000000"/>
                <w:szCs w:val="21"/>
              </w:rPr>
              <w:t>（17）打印（网页版）：支持将做好的课件打印成纸质版和导出成PDF，方便老师制作教案；支持选择打印规格：可选择横向纵向打印，支持选择每页打印1张、2张或4张。</w:t>
            </w:r>
          </w:p>
        </w:tc>
        <w:tc>
          <w:tcPr>
            <w:tcW w:w="638" w:type="dxa"/>
            <w:vMerge w:val="continue"/>
            <w:shd w:val="clear" w:color="auto" w:fill="auto"/>
            <w:noWrap/>
            <w:vAlign w:val="center"/>
          </w:tcPr>
          <w:p>
            <w:pPr>
              <w:jc w:val="left"/>
              <w:rPr>
                <w:rFonts w:asciiTheme="minorEastAsia" w:hAnsiTheme="minorEastAsia"/>
                <w:color w:val="000000"/>
                <w:szCs w:val="21"/>
              </w:rPr>
            </w:pPr>
          </w:p>
        </w:tc>
        <w:tc>
          <w:tcPr>
            <w:tcW w:w="818" w:type="dxa"/>
            <w:vMerge w:val="continue"/>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9" w:hRule="atLeast"/>
        </w:trPr>
        <w:tc>
          <w:tcPr>
            <w:tcW w:w="711" w:type="dxa"/>
            <w:vMerge w:val="continue"/>
            <w:shd w:val="clear" w:color="auto" w:fill="auto"/>
            <w:noWrap/>
            <w:vAlign w:val="center"/>
          </w:tcPr>
          <w:p>
            <w:pPr>
              <w:jc w:val="left"/>
              <w:rPr>
                <w:rFonts w:asciiTheme="minorEastAsia" w:hAnsiTheme="minorEastAsia"/>
                <w:color w:val="000000"/>
                <w:szCs w:val="21"/>
              </w:rPr>
            </w:pPr>
          </w:p>
        </w:tc>
        <w:tc>
          <w:tcPr>
            <w:tcW w:w="929" w:type="dxa"/>
            <w:vMerge w:val="continue"/>
            <w:shd w:val="clear" w:color="auto" w:fill="auto"/>
            <w:vAlign w:val="center"/>
          </w:tcPr>
          <w:p>
            <w:pPr>
              <w:jc w:val="left"/>
              <w:rPr>
                <w:rFonts w:asciiTheme="minorEastAsia" w:hAnsiTheme="minorEastAsia"/>
                <w:color w:val="000000"/>
                <w:szCs w:val="21"/>
              </w:rPr>
            </w:pP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四、展台软件：</w:t>
            </w:r>
          </w:p>
          <w:p>
            <w:pPr>
              <w:jc w:val="left"/>
              <w:rPr>
                <w:rFonts w:asciiTheme="minorEastAsia" w:hAnsiTheme="minorEastAsia"/>
                <w:color w:val="000000"/>
                <w:szCs w:val="21"/>
              </w:rPr>
            </w:pPr>
            <w:r>
              <w:rPr>
                <w:rFonts w:hint="eastAsia" w:asciiTheme="minorEastAsia" w:hAnsiTheme="minorEastAsia"/>
                <w:color w:val="000000"/>
                <w:szCs w:val="21"/>
              </w:rPr>
              <w:t>（1）具有拍照截图、智能连拍功能，支持通用、文档、色彩三种图像模式，方便用户根据实际教学场景切换模式；</w:t>
            </w:r>
          </w:p>
          <w:p>
            <w:pPr>
              <w:jc w:val="left"/>
              <w:rPr>
                <w:rFonts w:asciiTheme="minorEastAsia" w:hAnsiTheme="minorEastAsia"/>
                <w:color w:val="000000"/>
                <w:szCs w:val="21"/>
              </w:rPr>
            </w:pPr>
            <w:r>
              <w:rPr>
                <w:rFonts w:hint="eastAsia" w:asciiTheme="minorEastAsia" w:hAnsiTheme="minorEastAsia"/>
                <w:color w:val="000000"/>
                <w:szCs w:val="21"/>
              </w:rPr>
              <w:t>（2）不借助物理按键和触摸菜单，通过手势实现图像360°旋转、放大、缩小、移动、全屏等操作；</w:t>
            </w:r>
          </w:p>
          <w:p>
            <w:pPr>
              <w:jc w:val="left"/>
              <w:rPr>
                <w:rFonts w:asciiTheme="minorEastAsia" w:hAnsiTheme="minorEastAsia"/>
                <w:color w:val="000000"/>
                <w:szCs w:val="21"/>
              </w:rPr>
            </w:pPr>
            <w:r>
              <w:rPr>
                <w:rFonts w:hint="eastAsia" w:asciiTheme="minorEastAsia" w:hAnsiTheme="minorEastAsia"/>
                <w:color w:val="000000"/>
                <w:szCs w:val="21"/>
              </w:rPr>
              <w:t>（3）具有点击方式进行实时画面及图片的同屏对比功能，且支持本地图片导入功能；</w:t>
            </w:r>
          </w:p>
          <w:p>
            <w:pPr>
              <w:jc w:val="left"/>
              <w:rPr>
                <w:rFonts w:asciiTheme="minorEastAsia" w:hAnsiTheme="minorEastAsia"/>
                <w:color w:val="000000"/>
                <w:szCs w:val="21"/>
              </w:rPr>
            </w:pPr>
            <w:r>
              <w:rPr>
                <w:rFonts w:hint="eastAsia" w:asciiTheme="minorEastAsia" w:hAnsiTheme="minorEastAsia"/>
                <w:color w:val="000000"/>
                <w:szCs w:val="21"/>
              </w:rPr>
              <w:t>（4）支持展台画面实时批注，预设多种笔划粗细及颜色供选择，且支持对展台画面联同批注内容进行同步缩放、移动；</w:t>
            </w:r>
          </w:p>
          <w:p>
            <w:pPr>
              <w:jc w:val="left"/>
              <w:rPr>
                <w:rFonts w:asciiTheme="minorEastAsia" w:hAnsiTheme="minorEastAsia"/>
                <w:color w:val="000000"/>
                <w:szCs w:val="21"/>
              </w:rPr>
            </w:pPr>
            <w:r>
              <w:rPr>
                <w:rFonts w:hint="eastAsia" w:asciiTheme="minorEastAsia" w:hAnsiTheme="minorEastAsia"/>
                <w:color w:val="000000"/>
                <w:szCs w:val="21"/>
              </w:rPr>
              <w:t>（5）支持不少于三种裁切模式：无裁切、单图裁切、多图裁切，根据所选模式自动裁切图像，生成正式文档；</w:t>
            </w:r>
          </w:p>
          <w:p>
            <w:pPr>
              <w:jc w:val="left"/>
              <w:rPr>
                <w:rFonts w:asciiTheme="minorEastAsia" w:hAnsiTheme="minorEastAsia"/>
                <w:color w:val="000000"/>
                <w:szCs w:val="21"/>
              </w:rPr>
            </w:pPr>
            <w:r>
              <w:rPr>
                <w:rFonts w:hint="eastAsia" w:asciiTheme="minorEastAsia" w:hAnsiTheme="minorEastAsia"/>
                <w:color w:val="000000"/>
                <w:szCs w:val="21"/>
              </w:rPr>
              <w:t>（6）同屏对比支持多图联动缩放和单图缩放两种模式，并支持不少于五张图片同屏对比；</w:t>
            </w:r>
          </w:p>
          <w:p>
            <w:pPr>
              <w:jc w:val="left"/>
              <w:rPr>
                <w:rFonts w:asciiTheme="minorEastAsia" w:hAnsiTheme="minorEastAsia"/>
                <w:color w:val="000000"/>
                <w:szCs w:val="21"/>
              </w:rPr>
            </w:pPr>
            <w:r>
              <w:rPr>
                <w:rFonts w:hint="eastAsia" w:asciiTheme="minorEastAsia" w:hAnsiTheme="minorEastAsia"/>
                <w:color w:val="000000"/>
                <w:szCs w:val="21"/>
              </w:rPr>
              <w:t>（7）支持拍照图片去背景功能；</w:t>
            </w:r>
          </w:p>
          <w:p>
            <w:pPr>
              <w:jc w:val="left"/>
              <w:rPr>
                <w:rFonts w:asciiTheme="minorEastAsia" w:hAnsiTheme="minorEastAsia"/>
                <w:color w:val="000000"/>
                <w:szCs w:val="21"/>
              </w:rPr>
            </w:pPr>
            <w:r>
              <w:rPr>
                <w:rFonts w:hint="eastAsia" w:asciiTheme="minorEastAsia" w:hAnsiTheme="minorEastAsia"/>
                <w:color w:val="000000"/>
                <w:szCs w:val="21"/>
              </w:rPr>
              <w:t>（8）图像修正：具有缺角补边功能；</w:t>
            </w:r>
          </w:p>
          <w:p>
            <w:pPr>
              <w:jc w:val="left"/>
              <w:rPr>
                <w:rFonts w:asciiTheme="minorEastAsia" w:hAnsiTheme="minorEastAsia"/>
                <w:color w:val="000000"/>
                <w:szCs w:val="21"/>
              </w:rPr>
            </w:pPr>
            <w:r>
              <w:rPr>
                <w:rFonts w:hint="eastAsia" w:asciiTheme="minorEastAsia" w:hAnsiTheme="minorEastAsia"/>
                <w:color w:val="000000"/>
                <w:szCs w:val="21"/>
              </w:rPr>
              <w:t>（9）展台软件具有自检功能：硬件检测、解码器、机器序列号等，方便维护升级.；</w:t>
            </w:r>
          </w:p>
          <w:p>
            <w:pPr>
              <w:jc w:val="left"/>
              <w:rPr>
                <w:rFonts w:asciiTheme="minorEastAsia" w:hAnsiTheme="minorEastAsia"/>
                <w:color w:val="000000"/>
                <w:szCs w:val="21"/>
              </w:rPr>
            </w:pPr>
            <w:r>
              <w:rPr>
                <w:rFonts w:hint="eastAsia" w:asciiTheme="minorEastAsia" w:hAnsiTheme="minorEastAsia"/>
                <w:color w:val="000000"/>
                <w:szCs w:val="21"/>
              </w:rPr>
              <w:t>（10）索引栏支持左右位置互换，方便教学使用；且实时画面始终置于索引栏顶部，可随时调用；</w:t>
            </w:r>
          </w:p>
          <w:p>
            <w:pPr>
              <w:jc w:val="left"/>
              <w:rPr>
                <w:rFonts w:asciiTheme="minorEastAsia" w:hAnsiTheme="minorEastAsia"/>
                <w:color w:val="000000"/>
                <w:szCs w:val="21"/>
              </w:rPr>
            </w:pPr>
            <w:r>
              <w:rPr>
                <w:rFonts w:hint="eastAsia" w:asciiTheme="minorEastAsia" w:hAnsiTheme="minorEastAsia"/>
                <w:color w:val="000000"/>
                <w:szCs w:val="21"/>
              </w:rPr>
              <w:t>（11）支持最少5幅展台画面插入白板软件进行批注；</w:t>
            </w:r>
          </w:p>
          <w:p>
            <w:pPr>
              <w:jc w:val="left"/>
              <w:rPr>
                <w:rFonts w:asciiTheme="minorEastAsia" w:hAnsiTheme="minorEastAsia"/>
                <w:color w:val="000000"/>
                <w:szCs w:val="21"/>
              </w:rPr>
            </w:pPr>
            <w:r>
              <w:rPr>
                <w:rFonts w:hint="eastAsia" w:asciiTheme="minorEastAsia" w:hAnsiTheme="minorEastAsia"/>
                <w:color w:val="000000"/>
                <w:szCs w:val="21"/>
              </w:rPr>
              <w:t>（12）具有图片、课件、文档、试卷等保存功能，方便用户留档备存；</w:t>
            </w:r>
          </w:p>
        </w:tc>
        <w:tc>
          <w:tcPr>
            <w:tcW w:w="638" w:type="dxa"/>
            <w:vMerge w:val="continue"/>
            <w:shd w:val="clear" w:color="auto" w:fill="auto"/>
            <w:noWrap/>
            <w:vAlign w:val="center"/>
          </w:tcPr>
          <w:p>
            <w:pPr>
              <w:jc w:val="left"/>
              <w:rPr>
                <w:rFonts w:asciiTheme="minorEastAsia" w:hAnsiTheme="minorEastAsia"/>
                <w:color w:val="000000"/>
                <w:szCs w:val="21"/>
              </w:rPr>
            </w:pPr>
          </w:p>
        </w:tc>
        <w:tc>
          <w:tcPr>
            <w:tcW w:w="818" w:type="dxa"/>
            <w:vMerge w:val="continue"/>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2</w:t>
            </w:r>
          </w:p>
        </w:tc>
        <w:tc>
          <w:tcPr>
            <w:tcW w:w="929" w:type="dxa"/>
            <w:shd w:val="clear" w:color="auto" w:fill="auto"/>
            <w:vAlign w:val="center"/>
          </w:tcPr>
          <w:p>
            <w:pPr>
              <w:jc w:val="center"/>
            </w:pPr>
            <w:r>
              <w:rPr>
                <w:rFonts w:hint="eastAsia"/>
                <w:bCs/>
                <w:szCs w:val="21"/>
              </w:rPr>
              <w:t>激光超短焦投影</w:t>
            </w: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1、投影技术：DLP技术、0.65 英寸DMD；光源材质：※纯激光固态光源；标称亮度（ISO流明）：※3800 ISO流明或以上（符合ISO21118标准）；2、投射方式：内反射超短焦；</w:t>
            </w:r>
          </w:p>
          <w:p>
            <w:pPr>
              <w:jc w:val="left"/>
              <w:rPr>
                <w:rFonts w:asciiTheme="minorEastAsia" w:hAnsiTheme="minorEastAsia"/>
                <w:color w:val="000000"/>
                <w:szCs w:val="21"/>
              </w:rPr>
            </w:pPr>
            <w:r>
              <w:rPr>
                <w:rFonts w:hint="eastAsia" w:asciiTheme="minorEastAsia" w:hAnsiTheme="minorEastAsia"/>
                <w:color w:val="000000"/>
                <w:szCs w:val="21"/>
              </w:rPr>
              <w:t>3、标准分辨率：※WXGA；对比度：※≥35000:1；投射80英寸画面时，镜4、头到画面的距离：※≤47CM；整机功率：≤275W；机身重量：≤6公斤；</w:t>
            </w:r>
          </w:p>
          <w:p>
            <w:pPr>
              <w:jc w:val="left"/>
              <w:rPr>
                <w:rFonts w:asciiTheme="minorEastAsia" w:hAnsiTheme="minorEastAsia"/>
                <w:color w:val="000000"/>
                <w:szCs w:val="21"/>
              </w:rPr>
            </w:pPr>
            <w:r>
              <w:rPr>
                <w:rFonts w:hint="eastAsia" w:asciiTheme="minorEastAsia" w:hAnsiTheme="minorEastAsia"/>
                <w:color w:val="000000"/>
                <w:szCs w:val="21"/>
              </w:rPr>
              <w:t>5、接口参数：RGB in *1，RGB in/out  *1，HDMI in *2，Video in *1，RS232 *1，MINI USB *1，ECP 接口，Kensington™锁端口，AC电源输出 *1；</w:t>
            </w:r>
          </w:p>
          <w:p>
            <w:pPr>
              <w:jc w:val="left"/>
              <w:rPr>
                <w:rFonts w:asciiTheme="minorEastAsia" w:hAnsiTheme="minorEastAsia"/>
                <w:color w:val="000000"/>
                <w:szCs w:val="21"/>
              </w:rPr>
            </w:pPr>
            <w:r>
              <w:rPr>
                <w:rFonts w:hint="eastAsia" w:asciiTheme="minorEastAsia" w:hAnsiTheme="minorEastAsia"/>
                <w:color w:val="000000"/>
                <w:szCs w:val="21"/>
              </w:rPr>
              <w:t>6、其他功能：内置防尘过滤网；快速开关机；全中文控制面板、多语言菜单，多背景色，明亮色彩；智能节电功能；按键一字排列，LED灯柱指示，遥控器节能控制</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3</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3</w:t>
            </w:r>
          </w:p>
        </w:tc>
        <w:tc>
          <w:tcPr>
            <w:tcW w:w="929" w:type="dxa"/>
            <w:shd w:val="clear" w:color="auto" w:fill="auto"/>
            <w:vAlign w:val="center"/>
          </w:tcPr>
          <w:p>
            <w:pPr>
              <w:jc w:val="center"/>
              <w:rPr>
                <w:rFonts w:asciiTheme="minorEastAsia" w:hAnsiTheme="minorEastAsia"/>
                <w:color w:val="000000"/>
                <w:szCs w:val="21"/>
              </w:rPr>
            </w:pPr>
            <w:r>
              <w:rPr>
                <w:rFonts w:hint="eastAsia"/>
              </w:rPr>
              <w:t>电子白板</w:t>
            </w: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w:t>
            </w:r>
            <w:r>
              <w:rPr>
                <w:rFonts w:hint="eastAsia"/>
                <w:sz w:val="22"/>
              </w:rPr>
              <w:t>▲</w:t>
            </w:r>
            <w:r>
              <w:rPr>
                <w:rFonts w:hint="eastAsia" w:asciiTheme="minorEastAsia" w:hAnsiTheme="minorEastAsia"/>
                <w:color w:val="000000"/>
                <w:szCs w:val="21"/>
              </w:rPr>
              <w:t>书写技术：红外线感应技术</w:t>
            </w:r>
          </w:p>
          <w:p>
            <w:pPr>
              <w:jc w:val="left"/>
              <w:rPr>
                <w:rFonts w:asciiTheme="minorEastAsia" w:hAnsiTheme="minorEastAsia"/>
                <w:color w:val="000000"/>
                <w:szCs w:val="21"/>
              </w:rPr>
            </w:pPr>
            <w:r>
              <w:rPr>
                <w:rFonts w:hint="eastAsia" w:asciiTheme="minorEastAsia" w:hAnsiTheme="minorEastAsia"/>
                <w:color w:val="000000"/>
                <w:szCs w:val="21"/>
              </w:rPr>
              <w:t xml:space="preserve">2、边框对角线尺寸：≥93英寸  16：10 </w:t>
            </w:r>
          </w:p>
          <w:p>
            <w:pPr>
              <w:jc w:val="left"/>
              <w:rPr>
                <w:rFonts w:asciiTheme="minorEastAsia" w:hAnsiTheme="minorEastAsia"/>
                <w:color w:val="000000"/>
                <w:szCs w:val="21"/>
              </w:rPr>
            </w:pPr>
            <w:r>
              <w:rPr>
                <w:rFonts w:hint="eastAsia" w:asciiTheme="minorEastAsia" w:hAnsiTheme="minorEastAsia"/>
                <w:color w:val="000000"/>
                <w:szCs w:val="21"/>
              </w:rPr>
              <w:t>3、分辨率：≥32767×32767</w:t>
            </w:r>
          </w:p>
          <w:p>
            <w:pPr>
              <w:jc w:val="left"/>
              <w:rPr>
                <w:rFonts w:asciiTheme="minorEastAsia" w:hAnsiTheme="minorEastAsia"/>
                <w:color w:val="000000"/>
                <w:szCs w:val="21"/>
              </w:rPr>
            </w:pPr>
            <w:r>
              <w:rPr>
                <w:rFonts w:hint="eastAsia" w:asciiTheme="minorEastAsia" w:hAnsiTheme="minorEastAsia"/>
                <w:color w:val="000000"/>
                <w:szCs w:val="21"/>
              </w:rPr>
              <w:t>4、</w:t>
            </w:r>
            <w:r>
              <w:rPr>
                <w:rFonts w:hint="eastAsia"/>
                <w:sz w:val="22"/>
              </w:rPr>
              <w:t>▲</w:t>
            </w:r>
            <w:r>
              <w:rPr>
                <w:rFonts w:hint="eastAsia" w:asciiTheme="minorEastAsia" w:hAnsiTheme="minorEastAsia"/>
                <w:color w:val="000000"/>
                <w:szCs w:val="21"/>
              </w:rPr>
              <w:t>有效感应面积≥90英寸，</w:t>
            </w:r>
          </w:p>
          <w:p>
            <w:pPr>
              <w:jc w:val="left"/>
              <w:rPr>
                <w:rFonts w:asciiTheme="minorEastAsia" w:hAnsiTheme="minorEastAsia"/>
                <w:color w:val="000000"/>
                <w:szCs w:val="21"/>
              </w:rPr>
            </w:pPr>
            <w:r>
              <w:rPr>
                <w:rFonts w:hint="eastAsia" w:asciiTheme="minorEastAsia" w:hAnsiTheme="minorEastAsia"/>
                <w:color w:val="000000"/>
                <w:szCs w:val="21"/>
              </w:rPr>
              <w:t>5、▲多人书写触控：支持四点触控，三人可以同时在电子白板上进行书写。</w:t>
            </w:r>
          </w:p>
          <w:p>
            <w:pPr>
              <w:jc w:val="left"/>
              <w:rPr>
                <w:rFonts w:asciiTheme="minorEastAsia" w:hAnsiTheme="minorEastAsia"/>
                <w:color w:val="000000"/>
                <w:szCs w:val="21"/>
              </w:rPr>
            </w:pPr>
            <w:r>
              <w:rPr>
                <w:rFonts w:hint="eastAsia" w:asciiTheme="minorEastAsia" w:hAnsiTheme="minorEastAsia"/>
                <w:color w:val="000000"/>
                <w:szCs w:val="21"/>
              </w:rPr>
              <w:t>6、</w:t>
            </w:r>
            <w:r>
              <w:rPr>
                <w:rFonts w:hint="eastAsia"/>
                <w:sz w:val="22"/>
              </w:rPr>
              <w:t>▲</w:t>
            </w:r>
            <w:r>
              <w:rPr>
                <w:rFonts w:hint="eastAsia" w:asciiTheme="minorEastAsia" w:hAnsiTheme="minorEastAsia"/>
                <w:color w:val="000000"/>
                <w:szCs w:val="21"/>
              </w:rPr>
              <w:t>面板中文标注快捷键：白板两侧各具备不多于15个中文标注快捷键，通过中文标注快捷键，可直接操作白板软件；在Windows界面下仅通过操作中文标注快捷键，即可实现PPT翻页功能，具备不少于1个自定义中文标注快捷键，可以定义软件功能，方便使用</w:t>
            </w:r>
          </w:p>
          <w:p>
            <w:pPr>
              <w:jc w:val="left"/>
              <w:rPr>
                <w:rFonts w:asciiTheme="minorEastAsia" w:hAnsiTheme="minorEastAsia"/>
                <w:color w:val="000000"/>
                <w:szCs w:val="21"/>
              </w:rPr>
            </w:pPr>
            <w:r>
              <w:rPr>
                <w:rFonts w:hint="eastAsia" w:asciiTheme="minorEastAsia" w:hAnsiTheme="minorEastAsia"/>
                <w:color w:val="000000"/>
                <w:szCs w:val="21"/>
              </w:rPr>
              <w:t>7、</w:t>
            </w:r>
            <w:r>
              <w:rPr>
                <w:rFonts w:hint="eastAsia"/>
                <w:sz w:val="22"/>
              </w:rPr>
              <w:t>▲</w:t>
            </w:r>
            <w:r>
              <w:rPr>
                <w:rFonts w:hint="eastAsia" w:asciiTheme="minorEastAsia" w:hAnsiTheme="minorEastAsia"/>
                <w:color w:val="000000"/>
                <w:szCs w:val="21"/>
              </w:rPr>
              <w:t>面板：铝蜂窝镀锌纳米板，面板支持水性笔书写，可反复擦除。适用各种复杂环境（高海拔，高湿度），不起包</w:t>
            </w:r>
          </w:p>
          <w:p>
            <w:pPr>
              <w:jc w:val="left"/>
              <w:rPr>
                <w:rFonts w:asciiTheme="minorEastAsia" w:hAnsiTheme="minorEastAsia"/>
                <w:color w:val="000000"/>
                <w:szCs w:val="21"/>
              </w:rPr>
            </w:pPr>
            <w:r>
              <w:rPr>
                <w:rFonts w:hint="eastAsia" w:asciiTheme="minorEastAsia" w:hAnsiTheme="minorEastAsia"/>
                <w:color w:val="000000"/>
                <w:szCs w:val="21"/>
              </w:rPr>
              <w:t>8、</w:t>
            </w:r>
            <w:r>
              <w:rPr>
                <w:rFonts w:hint="eastAsia"/>
                <w:sz w:val="22"/>
              </w:rPr>
              <w:t>▲</w:t>
            </w:r>
            <w:r>
              <w:rPr>
                <w:rFonts w:hint="eastAsia" w:asciiTheme="minorEastAsia" w:hAnsiTheme="minorEastAsia"/>
                <w:color w:val="000000"/>
                <w:szCs w:val="21"/>
              </w:rPr>
              <w:t>智能控制：边框上直接加装L型投影机控制模块，方便控制投影机的开关及信号的切换。无需拆卸黑板和白板（选件，已预留孔位）</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3</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4</w:t>
            </w:r>
          </w:p>
        </w:tc>
        <w:tc>
          <w:tcPr>
            <w:tcW w:w="929"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万向黑板</w:t>
            </w: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1、基本尺寸:≥4000mm×1245mm（尺寸及安装方式根据学校要求及现场环境定制）</w:t>
            </w:r>
          </w:p>
          <w:p>
            <w:pPr>
              <w:jc w:val="left"/>
              <w:rPr>
                <w:rFonts w:asciiTheme="minorEastAsia" w:hAnsiTheme="minorEastAsia"/>
                <w:color w:val="000000"/>
                <w:szCs w:val="21"/>
                <w:highlight w:val="yellow"/>
              </w:rPr>
            </w:pPr>
            <w:r>
              <w:rPr>
                <w:rFonts w:hint="eastAsia" w:asciiTheme="minorEastAsia" w:hAnsiTheme="minorEastAsia"/>
                <w:color w:val="000000"/>
                <w:szCs w:val="21"/>
              </w:rPr>
              <w:t>2、书写板面:面板为厚度为≥0.3mm的合资绿板，没有明显眩光，板面表面附有一层透明保护膜，符合GB 28231-2011《书写板安全卫生要求》。</w:t>
            </w:r>
          </w:p>
          <w:p>
            <w:pPr>
              <w:jc w:val="left"/>
              <w:rPr>
                <w:rFonts w:asciiTheme="minorEastAsia" w:hAnsiTheme="minorEastAsia"/>
                <w:color w:val="000000"/>
                <w:szCs w:val="21"/>
              </w:rPr>
            </w:pPr>
            <w:r>
              <w:rPr>
                <w:rFonts w:hint="eastAsia" w:asciiTheme="minorEastAsia" w:hAnsiTheme="minorEastAsia"/>
                <w:color w:val="000000"/>
                <w:szCs w:val="21"/>
              </w:rPr>
              <w:t>3、内芯材料:聚乙烯发泡板，厚度不小于14mm，密度不小于18kg/立方米，高强度、吸音、书写无吱咔声，改善书写手感</w:t>
            </w:r>
          </w:p>
          <w:p>
            <w:pPr>
              <w:jc w:val="left"/>
              <w:rPr>
                <w:rFonts w:asciiTheme="minorEastAsia" w:hAnsiTheme="minorEastAsia"/>
                <w:color w:val="000000"/>
                <w:szCs w:val="21"/>
              </w:rPr>
            </w:pPr>
            <w:r>
              <w:rPr>
                <w:rFonts w:hint="eastAsia" w:asciiTheme="minorEastAsia" w:hAnsiTheme="minorEastAsia"/>
                <w:color w:val="000000"/>
                <w:szCs w:val="21"/>
              </w:rPr>
              <w:t>4、背板采用:优质防锈热镀锌钢板，厚度≥0.22mm，整张镀锌板，不得拼接，确保均布承压不低于635N，镀锌含量Z12技术要求不低于国标GB2518-88</w:t>
            </w:r>
          </w:p>
          <w:p>
            <w:pPr>
              <w:jc w:val="left"/>
              <w:rPr>
                <w:rFonts w:asciiTheme="minorEastAsia" w:hAnsiTheme="minorEastAsia"/>
                <w:color w:val="000000"/>
                <w:szCs w:val="21"/>
              </w:rPr>
            </w:pPr>
            <w:r>
              <w:rPr>
                <w:rFonts w:hint="eastAsia" w:asciiTheme="minorEastAsia" w:hAnsiTheme="minorEastAsia"/>
                <w:color w:val="000000"/>
                <w:szCs w:val="21"/>
              </w:rPr>
              <w:t>5、胶水采用:环保型双组份聚氨酯胶水，确保粘接牢固板面平整。</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6、粉笔槽</w:t>
            </w:r>
            <w:r>
              <w:rPr>
                <w:rFonts w:hint="eastAsia" w:asciiTheme="minorEastAsia" w:hAnsiTheme="minorEastAsia"/>
                <w:color w:val="000000"/>
                <w:szCs w:val="21"/>
              </w:rPr>
              <w:tab/>
            </w:r>
            <w:r>
              <w:rPr>
                <w:rFonts w:hint="eastAsia" w:asciiTheme="minorEastAsia" w:hAnsiTheme="minorEastAsia"/>
                <w:color w:val="000000"/>
                <w:szCs w:val="21"/>
              </w:rPr>
              <w:t>:粉笔槽采用香槟色喷砂铝合金型材，与黑板下边框为整体一体化设计，而不需要拉铆钉或螺丝固定粉笔槽，从而使粉笔槽更加的牢固。</w:t>
            </w:r>
          </w:p>
          <w:p>
            <w:pPr>
              <w:jc w:val="left"/>
              <w:rPr>
                <w:rFonts w:asciiTheme="minorEastAsia" w:hAnsiTheme="minorEastAsia"/>
                <w:color w:val="000000"/>
                <w:szCs w:val="21"/>
              </w:rPr>
            </w:pPr>
            <w:r>
              <w:rPr>
                <w:rFonts w:hint="eastAsia" w:asciiTheme="minorEastAsia" w:hAnsiTheme="minorEastAsia"/>
                <w:color w:val="000000"/>
                <w:szCs w:val="21"/>
              </w:rPr>
              <w:t>7、书写板:边框采用香槟色喷砂铝合金型材，边框尺寸40mm*23mm*1.0mm（宽*厚*壁厚），硬度为HRC15度，铸锭状态有色金属达到行业标准YS67-93，化学成份达GB/T3190-96。耐磨性、耐腐蚀、尺寸允许偏差达到GB/T5237-2000高精品。</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8、传动装置:采用配重块平衡、铝合金滑轨及钢丝绳双滑轮组传动，不得采用链条传动，承重轮为尼龙轮，内嵌钢制轴承，钢丝绳采用3mm防锈无油钢丝绳，确保承重力；为防止跳槽，装有安全装置及防跳装置。</w:t>
            </w:r>
          </w:p>
          <w:p>
            <w:pPr>
              <w:jc w:val="left"/>
              <w:rPr>
                <w:rFonts w:asciiTheme="minorEastAsia" w:hAnsiTheme="minorEastAsia"/>
                <w:color w:val="000000"/>
                <w:szCs w:val="21"/>
              </w:rPr>
            </w:pPr>
            <w:r>
              <w:rPr>
                <w:rFonts w:hint="eastAsia" w:asciiTheme="minorEastAsia" w:hAnsiTheme="minorEastAsia"/>
                <w:color w:val="000000"/>
                <w:szCs w:val="21"/>
              </w:rPr>
              <w:t>9、上下升降幅度达到：450㎜</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10、横向推拉导轨：轨道壁厚≥2.4mm，中间预留空间为2000㎜（可按现场情况微调）"</w:t>
            </w:r>
          </w:p>
          <w:p>
            <w:pPr>
              <w:jc w:val="left"/>
              <w:rPr>
                <w:rFonts w:asciiTheme="minorEastAsia" w:hAnsiTheme="minorEastAsia"/>
                <w:color w:val="000000"/>
                <w:szCs w:val="21"/>
              </w:rPr>
            </w:pPr>
            <w:r>
              <w:rPr>
                <w:rFonts w:hint="eastAsia" w:asciiTheme="minorEastAsia" w:hAnsiTheme="minorEastAsia"/>
                <w:color w:val="000000"/>
                <w:szCs w:val="21"/>
              </w:rPr>
              <w:t>11、包角材料:采用抗老化高强度ABS工程塑料注塑成型。采用双壁成腔流线型设计，不小于R30mm的圆角，无尖角毛刺。</w:t>
            </w:r>
          </w:p>
          <w:p>
            <w:pPr>
              <w:jc w:val="left"/>
              <w:rPr>
                <w:rFonts w:asciiTheme="minorEastAsia" w:hAnsiTheme="minorEastAsia"/>
                <w:color w:val="000000"/>
                <w:szCs w:val="21"/>
              </w:rPr>
            </w:pPr>
            <w:r>
              <w:rPr>
                <w:rFonts w:hint="eastAsia" w:asciiTheme="minorEastAsia" w:hAnsiTheme="minorEastAsia"/>
                <w:color w:val="000000"/>
                <w:szCs w:val="21"/>
              </w:rPr>
              <w:t>12、安装:所有安装配件均为开模制作的标准件并作电镀锌防锈处理，采用隐型安装，安装后无任何可见安装件，使整体更为美观</w:t>
            </w:r>
          </w:p>
          <w:p>
            <w:pPr>
              <w:jc w:val="left"/>
              <w:rPr>
                <w:rFonts w:asciiTheme="minorEastAsia" w:hAnsiTheme="minorEastAsia"/>
                <w:color w:val="000000"/>
                <w:szCs w:val="21"/>
              </w:rPr>
            </w:pPr>
            <w:r>
              <w:rPr>
                <w:rFonts w:hint="eastAsia" w:asciiTheme="minorEastAsia" w:hAnsiTheme="minorEastAsia"/>
                <w:color w:val="000000"/>
                <w:szCs w:val="21"/>
              </w:rPr>
              <w:t>13、外观:外框采用喷砂铝型材，有直射光时无反光，面板无损伤，无纵向的棱型，铝合金无划伤，无色差，平面板平整。</w:t>
            </w:r>
          </w:p>
          <w:p>
            <w:pPr>
              <w:jc w:val="left"/>
              <w:rPr>
                <w:rFonts w:asciiTheme="minorEastAsia" w:hAnsiTheme="minorEastAsia"/>
                <w:color w:val="000000"/>
                <w:szCs w:val="21"/>
              </w:rPr>
            </w:pPr>
            <w:r>
              <w:rPr>
                <w:rFonts w:hint="eastAsia" w:asciiTheme="minorEastAsia" w:hAnsiTheme="minorEastAsia"/>
                <w:color w:val="000000"/>
                <w:szCs w:val="21"/>
              </w:rPr>
              <w:t>14、提供投标货物的生产厂家的ISO9000系列质量体系认证证明、提供投标货物的生产厂家的ISO14001环境管理体系认证证明、提供投标货物的生产厂家的ISO18001职业健康安全管理体系认证证书。</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 xml:space="preserve">15、提供质量检测单位出具的万向移动书写板抽样检测报告。             </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48</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5</w:t>
            </w:r>
          </w:p>
        </w:tc>
        <w:tc>
          <w:tcPr>
            <w:tcW w:w="929"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智能融合信息终端</w:t>
            </w: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 xml:space="preserve">1、标准1U机架式设计, 适合安装于各类型机柜之中；支持远程开关机；通过WEB端登陆设备IP地址后可以直接进行修改配置及编写控制代码。 </w:t>
            </w:r>
          </w:p>
          <w:p>
            <w:pPr>
              <w:jc w:val="left"/>
              <w:rPr>
                <w:rFonts w:asciiTheme="minorEastAsia" w:hAnsiTheme="minorEastAsia"/>
                <w:color w:val="000000"/>
                <w:szCs w:val="21"/>
              </w:rPr>
            </w:pPr>
            <w:r>
              <w:rPr>
                <w:rFonts w:hint="eastAsia" w:asciiTheme="minorEastAsia" w:hAnsiTheme="minorEastAsia"/>
                <w:color w:val="000000"/>
                <w:szCs w:val="21"/>
              </w:rPr>
              <w:t>2、终端主板采用工业级高速700M主频嵌入式MIPS CPU,定制LINUX操作系统内核。设备集成广播音视频解码模块，配合融合平台软件设备直接实现本终端的IP数字广播、高清（1920*1080P）视频的实时接收、解码及播放,可实现手动或者定时设定上课铃、下课铃等信号铃声、可实现所有教室播放同一音视频资源，及依据教学需求，不同教室播放独立教学音视频资源。</w:t>
            </w:r>
          </w:p>
          <w:p>
            <w:pPr>
              <w:jc w:val="left"/>
              <w:rPr>
                <w:rFonts w:asciiTheme="minorEastAsia" w:hAnsiTheme="minorEastAsia"/>
                <w:color w:val="000000"/>
                <w:szCs w:val="21"/>
                <w:highlight w:val="yellow"/>
              </w:rPr>
            </w:pPr>
            <w:r>
              <w:rPr>
                <w:rFonts w:hint="eastAsia" w:asciiTheme="minorEastAsia" w:hAnsiTheme="minorEastAsia"/>
                <w:color w:val="000000"/>
                <w:szCs w:val="21"/>
              </w:rPr>
              <w:t>3、板载集成10M/100M/1000M RJ45 6口千兆网络交换机，支持4路VLAN划分，本机集成80W*2（40W*4）数字智能功放。2路3.5mm接口音频输入,1路3.5mm音频线性输出；2路带幻象供电的手持或桌面麦克输入，本机具备无线麦克风接收器，可升级DSP音频处理模块（动态自适应消除环境噪声，增强拾音及自动实时消除回声啸叫），通过软件可实时调整设备参数.</w:t>
            </w:r>
          </w:p>
          <w:p>
            <w:pPr>
              <w:jc w:val="left"/>
              <w:rPr>
                <w:rFonts w:asciiTheme="minorEastAsia" w:hAnsiTheme="minorEastAsia"/>
                <w:color w:val="000000"/>
                <w:szCs w:val="21"/>
              </w:rPr>
            </w:pPr>
            <w:r>
              <w:rPr>
                <w:rFonts w:hint="eastAsia" w:asciiTheme="minorEastAsia" w:hAnsiTheme="minorEastAsia"/>
                <w:color w:val="000000"/>
                <w:szCs w:val="21"/>
              </w:rPr>
              <w:t>4、内置集成3*2 HDMI高清音视频交叉矩阵芯片，支持2路全高清（1920*1080p）网络视频解码信号输出，其中输入信号支持1路HDMI高清接口，1路VGA转HDMI输入，输出信号支持2路HDMI高清接口，1路具备HDBaseT 传输协议的高清接口，电子时钟等外接扩展通信设备），1路磁控锁控制输出。</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5、可接入14键按键式物联控制面板或5英寸液晶触控一体化面板，面板集成物联协议，并支持对无线外接电源模块的智能管理，可根据时间通过平台软件自动执行电源模块所连接设备的开启与关闭、禁用与启用等策略，实现智能校园的统一管控。</w:t>
            </w:r>
          </w:p>
          <w:p>
            <w:pPr>
              <w:jc w:val="left"/>
              <w:rPr>
                <w:rFonts w:asciiTheme="minorEastAsia" w:hAnsiTheme="minorEastAsia"/>
                <w:color w:val="000000"/>
                <w:szCs w:val="21"/>
              </w:rPr>
            </w:pPr>
            <w:r>
              <w:rPr>
                <w:rFonts w:hint="eastAsia" w:asciiTheme="minorEastAsia" w:hAnsiTheme="minorEastAsia"/>
                <w:color w:val="000000"/>
                <w:szCs w:val="21"/>
              </w:rPr>
              <w:t>6、在同网段和跨网段进行可视化远程控制和集中管理（如教室电脑、投影机、展台、屏蔽仪、扩展设备电源等）。</w:t>
            </w:r>
          </w:p>
          <w:p>
            <w:pPr>
              <w:jc w:val="left"/>
              <w:rPr>
                <w:rFonts w:asciiTheme="minorEastAsia" w:hAnsiTheme="minorEastAsia"/>
                <w:color w:val="000000"/>
                <w:szCs w:val="21"/>
              </w:rPr>
            </w:pPr>
            <w:r>
              <w:rPr>
                <w:rFonts w:hint="eastAsia" w:asciiTheme="minorEastAsia" w:hAnsiTheme="minorEastAsia"/>
                <w:color w:val="000000"/>
                <w:szCs w:val="21"/>
              </w:rPr>
              <w:t>7、支持对幕布、投影及其它教室多媒体设备供电管理。</w:t>
            </w:r>
          </w:p>
          <w:p>
            <w:pPr>
              <w:jc w:val="left"/>
              <w:rPr>
                <w:rFonts w:asciiTheme="minorEastAsia" w:hAnsiTheme="minorEastAsia"/>
                <w:color w:val="000000"/>
                <w:szCs w:val="21"/>
              </w:rPr>
            </w:pPr>
            <w:r>
              <w:rPr>
                <w:rFonts w:hint="eastAsia" w:asciiTheme="minorEastAsia" w:hAnsiTheme="minorEastAsia"/>
                <w:color w:val="000000"/>
                <w:szCs w:val="21"/>
              </w:rPr>
              <w:t>8、终端自带精密能耗计量芯片，可精确统计连接设备（如投影机、平板及外接物联设备）的能耗及使用时长。如：投影灯的使用时间、日志、精确能耗等，并可远程安装所有串口设备（如投影机）控制码。</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9、支持本地控制，管理教室电脑、投影机、展台、无线（有线）麦克风、无线（有线）扩展电源模块等；通过平台软件及微信小程序可远程对终端设备及所物联的无线电源模块进行定时集控管理（设备开机、关机、开电、关电、禁用、启用等）。</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10、相关资质：原厂有效的ISO9001、ISO14001证书、3C证书。</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25</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6</w:t>
            </w:r>
          </w:p>
        </w:tc>
        <w:tc>
          <w:tcPr>
            <w:tcW w:w="929"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IP对讲触控面板</w:t>
            </w: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1、外壳采用工程塑料一次成型，采用隐藏式安装和走线，桌面整洁美观；</w:t>
            </w:r>
          </w:p>
          <w:p>
            <w:pPr>
              <w:jc w:val="left"/>
              <w:rPr>
                <w:rFonts w:asciiTheme="minorEastAsia" w:hAnsiTheme="minorEastAsia"/>
                <w:color w:val="000000"/>
                <w:szCs w:val="21"/>
              </w:rPr>
            </w:pPr>
            <w:r>
              <w:rPr>
                <w:rFonts w:hint="eastAsia" w:asciiTheme="minorEastAsia" w:hAnsiTheme="minorEastAsia"/>
                <w:color w:val="000000"/>
                <w:szCs w:val="21"/>
              </w:rPr>
              <w:t>2、高分辨率5英寸工业触摸屏，四个常用触摸按键，可根据设备组成情况定制触摸控制内容及设备；</w:t>
            </w:r>
          </w:p>
          <w:p>
            <w:pPr>
              <w:jc w:val="left"/>
              <w:rPr>
                <w:rFonts w:asciiTheme="minorEastAsia" w:hAnsiTheme="minorEastAsia"/>
                <w:color w:val="000000"/>
                <w:szCs w:val="21"/>
              </w:rPr>
            </w:pPr>
            <w:r>
              <w:rPr>
                <w:rFonts w:hint="eastAsia" w:asciiTheme="minorEastAsia" w:hAnsiTheme="minorEastAsia"/>
                <w:color w:val="000000"/>
                <w:szCs w:val="21"/>
              </w:rPr>
              <w:t>3、集成最新一代IC卡读卡器，支持插卡或者刷卡两种开机模式；</w:t>
            </w:r>
          </w:p>
          <w:p>
            <w:pPr>
              <w:jc w:val="left"/>
              <w:rPr>
                <w:rFonts w:asciiTheme="minorEastAsia" w:hAnsiTheme="minorEastAsia"/>
                <w:color w:val="000000"/>
                <w:szCs w:val="21"/>
              </w:rPr>
            </w:pPr>
            <w:r>
              <w:rPr>
                <w:rFonts w:hint="eastAsia" w:asciiTheme="minorEastAsia" w:hAnsiTheme="minorEastAsia"/>
                <w:color w:val="000000"/>
                <w:szCs w:val="21"/>
              </w:rPr>
              <w:t>4、触控面板集成音频编码功能，配合软件支撑平台可直接实现远程IP对讲电话；</w:t>
            </w:r>
          </w:p>
          <w:p>
            <w:pPr>
              <w:jc w:val="left"/>
              <w:rPr>
                <w:rFonts w:asciiTheme="minorEastAsia" w:hAnsiTheme="minorEastAsia"/>
                <w:color w:val="000000"/>
                <w:szCs w:val="21"/>
              </w:rPr>
            </w:pPr>
            <w:r>
              <w:rPr>
                <w:rFonts w:hint="eastAsia" w:asciiTheme="minorEastAsia" w:hAnsiTheme="minorEastAsia"/>
                <w:color w:val="000000"/>
                <w:szCs w:val="21"/>
              </w:rPr>
              <w:t>5、与智能融合终端配套使用。</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25</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7</w:t>
            </w:r>
          </w:p>
        </w:tc>
        <w:tc>
          <w:tcPr>
            <w:tcW w:w="929" w:type="dxa"/>
            <w:shd w:val="clear" w:color="auto" w:fill="auto"/>
            <w:vAlign w:val="center"/>
          </w:tcPr>
          <w:p>
            <w:pPr>
              <w:jc w:val="center"/>
              <w:rPr>
                <w:rFonts w:asciiTheme="minorEastAsia" w:hAnsiTheme="minorEastAsia"/>
                <w:color w:val="000000"/>
                <w:szCs w:val="21"/>
              </w:rPr>
            </w:pPr>
            <w:r>
              <w:rPr>
                <w:rFonts w:hint="eastAsia"/>
              </w:rPr>
              <w:t>高清音箱</w:t>
            </w:r>
          </w:p>
        </w:tc>
        <w:tc>
          <w:tcPr>
            <w:tcW w:w="6715"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1、室内壁挂式安装，角度可调节；</w:t>
            </w:r>
          </w:p>
          <w:p>
            <w:pPr>
              <w:jc w:val="left"/>
              <w:rPr>
                <w:rFonts w:asciiTheme="minorEastAsia" w:hAnsiTheme="minorEastAsia"/>
                <w:color w:val="000000"/>
                <w:szCs w:val="21"/>
              </w:rPr>
            </w:pPr>
            <w:r>
              <w:rPr>
                <w:rFonts w:hint="eastAsia" w:asciiTheme="minorEastAsia" w:hAnsiTheme="minorEastAsia"/>
                <w:color w:val="000000"/>
                <w:szCs w:val="21"/>
              </w:rPr>
              <w:t>2、高强度工程环保塑料一次注塑成形；</w:t>
            </w:r>
          </w:p>
          <w:p>
            <w:pPr>
              <w:jc w:val="left"/>
              <w:rPr>
                <w:rFonts w:asciiTheme="minorEastAsia" w:hAnsiTheme="minorEastAsia"/>
                <w:color w:val="000000"/>
                <w:szCs w:val="21"/>
              </w:rPr>
            </w:pPr>
            <w:r>
              <w:rPr>
                <w:rFonts w:hint="eastAsia" w:asciiTheme="minorEastAsia" w:hAnsiTheme="minorEastAsia"/>
                <w:color w:val="000000"/>
                <w:szCs w:val="21"/>
              </w:rPr>
              <w:t>3、具备号角式结构设计，在同等声压下可输出更大动态范围；</w:t>
            </w:r>
          </w:p>
          <w:p>
            <w:pPr>
              <w:jc w:val="left"/>
              <w:rPr>
                <w:rFonts w:asciiTheme="minorEastAsia" w:hAnsiTheme="minorEastAsia"/>
                <w:color w:val="000000"/>
                <w:szCs w:val="21"/>
              </w:rPr>
            </w:pPr>
            <w:r>
              <w:rPr>
                <w:rFonts w:hint="eastAsia" w:asciiTheme="minorEastAsia" w:hAnsiTheme="minorEastAsia"/>
                <w:color w:val="000000"/>
                <w:szCs w:val="21"/>
              </w:rPr>
              <w:t>4、内置4×6寸的专业定制低音单元，94mm球顶高音单元；</w:t>
            </w:r>
          </w:p>
          <w:p>
            <w:pPr>
              <w:jc w:val="left"/>
              <w:rPr>
                <w:rFonts w:asciiTheme="minorEastAsia" w:hAnsiTheme="minorEastAsia"/>
                <w:color w:val="000000"/>
                <w:szCs w:val="21"/>
              </w:rPr>
            </w:pPr>
            <w:r>
              <w:rPr>
                <w:rFonts w:hint="eastAsia" w:asciiTheme="minorEastAsia" w:hAnsiTheme="minorEastAsia"/>
                <w:color w:val="000000"/>
                <w:szCs w:val="21"/>
              </w:rPr>
              <w:t xml:space="preserve">5、音乐功率：50-100W； </w:t>
            </w:r>
          </w:p>
          <w:p>
            <w:pPr>
              <w:jc w:val="left"/>
              <w:rPr>
                <w:rFonts w:asciiTheme="minorEastAsia" w:hAnsiTheme="minorEastAsia"/>
                <w:color w:val="000000"/>
                <w:szCs w:val="21"/>
              </w:rPr>
            </w:pPr>
            <w:r>
              <w:rPr>
                <w:rFonts w:hint="eastAsia" w:asciiTheme="minorEastAsia" w:hAnsiTheme="minorEastAsia"/>
                <w:color w:val="000000"/>
                <w:szCs w:val="21"/>
              </w:rPr>
              <w:t>6、总谐波失真：低音喇叭＜5% ，高音喇叭＜3%；</w:t>
            </w:r>
          </w:p>
          <w:p>
            <w:pPr>
              <w:jc w:val="left"/>
              <w:rPr>
                <w:rFonts w:asciiTheme="minorEastAsia" w:hAnsiTheme="minorEastAsia"/>
                <w:color w:val="000000"/>
                <w:szCs w:val="21"/>
              </w:rPr>
            </w:pPr>
            <w:r>
              <w:rPr>
                <w:rFonts w:hint="eastAsia" w:asciiTheme="minorEastAsia" w:hAnsiTheme="minorEastAsia"/>
                <w:color w:val="000000"/>
                <w:szCs w:val="21"/>
              </w:rPr>
              <w:t>7、灵敏度：90±3dB；</w:t>
            </w:r>
          </w:p>
          <w:p>
            <w:pPr>
              <w:jc w:val="left"/>
              <w:rPr>
                <w:rFonts w:asciiTheme="minorEastAsia" w:hAnsiTheme="minorEastAsia"/>
                <w:color w:val="000000"/>
                <w:szCs w:val="21"/>
              </w:rPr>
            </w:pPr>
            <w:r>
              <w:rPr>
                <w:rFonts w:hint="eastAsia" w:asciiTheme="minorEastAsia" w:hAnsiTheme="minorEastAsia"/>
                <w:color w:val="000000"/>
                <w:szCs w:val="21"/>
              </w:rPr>
              <w:t>8、外观尺寸：440*175*216mm。</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50</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8</w:t>
            </w:r>
          </w:p>
        </w:tc>
        <w:tc>
          <w:tcPr>
            <w:tcW w:w="929" w:type="dxa"/>
            <w:shd w:val="clear" w:color="auto" w:fill="auto"/>
            <w:vAlign w:val="center"/>
          </w:tcPr>
          <w:p>
            <w:pPr>
              <w:jc w:val="center"/>
              <w:rPr>
                <w:color w:val="000000"/>
                <w:szCs w:val="21"/>
              </w:rPr>
            </w:pPr>
            <w:r>
              <w:rPr>
                <w:rFonts w:hint="eastAsia"/>
                <w:szCs w:val="21"/>
              </w:rPr>
              <w:t>2.4G无线麦克风</w:t>
            </w:r>
          </w:p>
        </w:tc>
        <w:tc>
          <w:tcPr>
            <w:tcW w:w="6715" w:type="dxa"/>
            <w:shd w:val="clear" w:color="auto" w:fill="auto"/>
          </w:tcPr>
          <w:p>
            <w:pPr>
              <w:jc w:val="left"/>
              <w:rPr>
                <w:rFonts w:asciiTheme="majorEastAsia" w:hAnsiTheme="majorEastAsia" w:eastAsiaTheme="majorEastAsia"/>
                <w:snapToGrid w:val="0"/>
                <w:color w:val="000000"/>
                <w:szCs w:val="21"/>
              </w:rPr>
            </w:pPr>
            <w:r>
              <w:rPr>
                <w:rFonts w:hint="eastAsia"/>
                <w:szCs w:val="21"/>
              </w:rPr>
              <w:t>1、 采用音频实时编解码专利技术，在48K采样频率情况下，保证音质的高保真、外壳采用高强度工程环保塑料一次注塑成形；</w:t>
            </w:r>
            <w:r>
              <w:rPr>
                <w:rFonts w:hint="eastAsia"/>
                <w:szCs w:val="21"/>
              </w:rPr>
              <w:br w:type="textWrapping"/>
            </w:r>
            <w:r>
              <w:rPr>
                <w:rFonts w:hint="eastAsia"/>
                <w:szCs w:val="21"/>
              </w:rPr>
              <w:t>2、 内置充电电池，支持本地音量调节及音量记忆，无外露天线低功耗设计，电磁辐射密度小于30uw/cm2，工作在2.4GHz；　</w:t>
            </w:r>
            <w:r>
              <w:rPr>
                <w:rFonts w:hint="eastAsia"/>
                <w:szCs w:val="21"/>
              </w:rPr>
              <w:br w:type="textWrapping"/>
            </w:r>
            <w:r>
              <w:rPr>
                <w:rFonts w:hint="eastAsia"/>
                <w:szCs w:val="21"/>
              </w:rPr>
              <w:t>3、 ISM频段，频率范围：2400 ~ 2483.5MHz.选取128个channel， 每个channel的频带带宽为500KHZ， 对应0～127个频点；</w:t>
            </w:r>
            <w:r>
              <w:rPr>
                <w:rFonts w:hint="eastAsia"/>
                <w:szCs w:val="21"/>
              </w:rPr>
              <w:br w:type="textWrapping"/>
            </w:r>
            <w:r>
              <w:rPr>
                <w:rFonts w:hint="eastAsia"/>
                <w:szCs w:val="21"/>
              </w:rPr>
              <w:t>4、 -85dBm的接收灵敏度，45dB的邻道抑制，30dB的镜像抑制；</w:t>
            </w:r>
            <w:r>
              <w:rPr>
                <w:rFonts w:hint="eastAsia"/>
                <w:szCs w:val="21"/>
              </w:rPr>
              <w:br w:type="textWrapping"/>
            </w:r>
            <w:r>
              <w:rPr>
                <w:rFonts w:hint="eastAsia"/>
                <w:szCs w:val="21"/>
              </w:rPr>
              <w:t>5、 有效接收距离不低于20米（开阔无障碍物，接收与发射处于静止状态下测试结果）背景噪音：无；</w:t>
            </w:r>
            <w:r>
              <w:rPr>
                <w:rFonts w:hint="eastAsia"/>
                <w:szCs w:val="21"/>
              </w:rPr>
              <w:br w:type="textWrapping"/>
            </w:r>
            <w:r>
              <w:rPr>
                <w:rFonts w:hint="eastAsia"/>
                <w:szCs w:val="21"/>
              </w:rPr>
              <w:t>6、 支持点对多点的动态接入方式。采用动态跳频和协议对码的方式，无线麦克风可接入到任何一个具有接收模块的设备中。对频后依据自有协议双方采用动态协商及实时跳频方式进行通信，避免多个设备同时使用时相互串扰；</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70</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9</w:t>
            </w:r>
          </w:p>
        </w:tc>
        <w:tc>
          <w:tcPr>
            <w:tcW w:w="929" w:type="dxa"/>
            <w:shd w:val="clear" w:color="auto" w:fill="auto"/>
            <w:vAlign w:val="center"/>
          </w:tcPr>
          <w:p>
            <w:pPr>
              <w:jc w:val="center"/>
              <w:rPr>
                <w:szCs w:val="21"/>
              </w:rPr>
            </w:pPr>
            <w:r>
              <w:rPr>
                <w:rFonts w:hint="eastAsia"/>
                <w:szCs w:val="21"/>
              </w:rPr>
              <w:t>一体机移动支架</w:t>
            </w:r>
          </w:p>
        </w:tc>
        <w:tc>
          <w:tcPr>
            <w:tcW w:w="6715" w:type="dxa"/>
            <w:shd w:val="clear" w:color="auto" w:fill="auto"/>
            <w:vAlign w:val="center"/>
          </w:tcPr>
          <w:p>
            <w:pPr>
              <w:rPr>
                <w:szCs w:val="21"/>
              </w:rPr>
            </w:pPr>
            <w:r>
              <w:rPr>
                <w:rFonts w:hint="eastAsia"/>
                <w:szCs w:val="21"/>
              </w:rPr>
              <w:t>移动推车触摸屏一体机落地移动挂架(86英寸)</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5</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10</w:t>
            </w:r>
          </w:p>
        </w:tc>
        <w:tc>
          <w:tcPr>
            <w:tcW w:w="929" w:type="dxa"/>
            <w:shd w:val="clear" w:color="auto" w:fill="auto"/>
            <w:vAlign w:val="center"/>
          </w:tcPr>
          <w:p>
            <w:pPr>
              <w:jc w:val="center"/>
              <w:rPr>
                <w:szCs w:val="21"/>
              </w:rPr>
            </w:pPr>
            <w:r>
              <w:rPr>
                <w:rFonts w:hint="eastAsia"/>
                <w:szCs w:val="21"/>
              </w:rPr>
              <w:t>移动</w:t>
            </w:r>
            <w:r>
              <w:rPr>
                <w:rFonts w:hint="eastAsia"/>
                <w:bCs/>
                <w:szCs w:val="21"/>
              </w:rPr>
              <w:t>翻转黑板</w:t>
            </w:r>
          </w:p>
        </w:tc>
        <w:tc>
          <w:tcPr>
            <w:tcW w:w="6715" w:type="dxa"/>
            <w:shd w:val="clear" w:color="auto" w:fill="auto"/>
          </w:tcPr>
          <w:p>
            <w:pPr>
              <w:jc w:val="left"/>
              <w:rPr>
                <w:szCs w:val="21"/>
              </w:rPr>
            </w:pPr>
            <w:r>
              <w:rPr>
                <w:rFonts w:hint="eastAsia"/>
                <w:szCs w:val="21"/>
              </w:rPr>
              <w:t>1、规格：1800mm*1000mm（尺寸可按学校要求定制）</w:t>
            </w:r>
          </w:p>
          <w:p>
            <w:pPr>
              <w:jc w:val="left"/>
              <w:rPr>
                <w:szCs w:val="21"/>
              </w:rPr>
            </w:pPr>
            <w:r>
              <w:rPr>
                <w:rFonts w:hint="eastAsia"/>
                <w:szCs w:val="21"/>
              </w:rPr>
              <w:t>2、外观：颜色为香槟色，封堵为流线型，托板为活动式的，可以自由活动，使用大手轮，</w:t>
            </w:r>
          </w:p>
          <w:p>
            <w:pPr>
              <w:jc w:val="left"/>
              <w:rPr>
                <w:szCs w:val="21"/>
              </w:rPr>
            </w:pPr>
            <w:r>
              <w:rPr>
                <w:rFonts w:hint="eastAsia"/>
                <w:szCs w:val="21"/>
              </w:rPr>
              <w:t>3、结构翻转轴的位置和锁紧手轮的位置定在一起，上横梁为方管，承重的同时可以自由拆装托板。采用的单手轮，</w:t>
            </w:r>
          </w:p>
          <w:p>
            <w:pPr>
              <w:jc w:val="left"/>
              <w:rPr>
                <w:szCs w:val="21"/>
              </w:rPr>
            </w:pPr>
            <w:r>
              <w:rPr>
                <w:rFonts w:hint="eastAsia"/>
                <w:szCs w:val="21"/>
              </w:rPr>
              <w:t>4、功能翻转板可以旋转到任意角度锁紧。</w:t>
            </w:r>
          </w:p>
          <w:p>
            <w:pPr>
              <w:jc w:val="left"/>
              <w:rPr>
                <w:szCs w:val="21"/>
              </w:rPr>
            </w:pPr>
            <w:r>
              <w:rPr>
                <w:rFonts w:hint="eastAsia"/>
                <w:szCs w:val="21"/>
              </w:rPr>
              <w:t>5、手轮的材料为胶木手轮。托板的材料为了使得托板具有足够的的承重能力采用1.0mm厚的钢板。</w:t>
            </w:r>
          </w:p>
          <w:p>
            <w:pPr>
              <w:jc w:val="left"/>
              <w:rPr>
                <w:szCs w:val="21"/>
              </w:rPr>
            </w:pPr>
            <w:r>
              <w:rPr>
                <w:rFonts w:hint="eastAsia"/>
                <w:szCs w:val="21"/>
              </w:rPr>
              <w:t>6、面板为双面使用结构，墨绿色、亚光，厚度≥0.3mm，漆膜硬度6H，粗糙度Ra1.6-3.2um，光泽度≤6﹪，没有明显眩光，板面表面附有一层透明保护膜，符合GB 28231-2011《书写板安全卫生要求》。</w:t>
            </w:r>
          </w:p>
          <w:p>
            <w:pPr>
              <w:jc w:val="left"/>
              <w:rPr>
                <w:szCs w:val="21"/>
              </w:rPr>
            </w:pPr>
            <w:r>
              <w:rPr>
                <w:rFonts w:hint="eastAsia"/>
                <w:szCs w:val="21"/>
              </w:rPr>
              <w:t>7、背板采用优质防锈热镀锌钢板，厚度≥0.22mm，整张镀锌板，不得拼接，确保均布承压不低于635N，镀锌含量Z12技术要求不低于国标GB2518-88</w:t>
            </w:r>
          </w:p>
          <w:p>
            <w:pPr>
              <w:jc w:val="left"/>
              <w:rPr>
                <w:szCs w:val="21"/>
              </w:rPr>
            </w:pPr>
            <w:r>
              <w:rPr>
                <w:rFonts w:hint="eastAsia"/>
                <w:szCs w:val="21"/>
              </w:rPr>
              <w:t>8、衬板采用聚乙烯发泡板，厚度不小于9mm，密度不小于18kg/立方米，高强度、吸音、书写无吱咔声，改善书写手感</w:t>
            </w:r>
          </w:p>
          <w:p>
            <w:pPr>
              <w:jc w:val="left"/>
              <w:rPr>
                <w:szCs w:val="21"/>
              </w:rPr>
            </w:pPr>
            <w:r>
              <w:rPr>
                <w:rFonts w:hint="eastAsia"/>
                <w:szCs w:val="21"/>
              </w:rPr>
              <w:t>9、粘胶材料采用防腐、防锈、防潮的黑板专用粘胶漆，胶合牢固、经久耐用，永不脱壳，各项指标均达到国家环保要求。</w:t>
            </w:r>
          </w:p>
          <w:p>
            <w:pPr>
              <w:jc w:val="left"/>
              <w:rPr>
                <w:szCs w:val="21"/>
              </w:rPr>
            </w:pPr>
            <w:r>
              <w:rPr>
                <w:rFonts w:hint="eastAsia"/>
                <w:szCs w:val="21"/>
              </w:rPr>
              <w:t>10、边框采用香槟色喷砂铝合金型材，边框尺寸宽为：30㎜×23㎜×1.2㎜（壁厚）</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11</w:t>
            </w:r>
          </w:p>
        </w:tc>
        <w:tc>
          <w:tcPr>
            <w:tcW w:w="929" w:type="dxa"/>
            <w:shd w:val="clear" w:color="auto" w:fill="auto"/>
            <w:vAlign w:val="center"/>
          </w:tcPr>
          <w:p>
            <w:pPr>
              <w:jc w:val="center"/>
              <w:rPr>
                <w:szCs w:val="21"/>
              </w:rPr>
            </w:pPr>
            <w:r>
              <w:rPr>
                <w:rFonts w:hint="eastAsia"/>
                <w:color w:val="000000"/>
                <w:szCs w:val="21"/>
              </w:rPr>
              <w:t>高保真全频线性阵列音柱（主扩声）</w:t>
            </w:r>
          </w:p>
        </w:tc>
        <w:tc>
          <w:tcPr>
            <w:tcW w:w="6715" w:type="dxa"/>
            <w:shd w:val="clear" w:color="auto" w:fill="auto"/>
          </w:tcPr>
          <w:p>
            <w:pPr>
              <w:jc w:val="left"/>
              <w:rPr>
                <w:szCs w:val="21"/>
              </w:rPr>
            </w:pPr>
            <w:r>
              <w:rPr>
                <w:rFonts w:hint="eastAsia"/>
                <w:szCs w:val="21"/>
              </w:rPr>
              <w:t>1.高保真全频线性阵列音柱</w:t>
            </w:r>
          </w:p>
          <w:p>
            <w:pPr>
              <w:jc w:val="left"/>
              <w:rPr>
                <w:szCs w:val="21"/>
              </w:rPr>
            </w:pPr>
            <w:r>
              <w:rPr>
                <w:rFonts w:hint="eastAsia"/>
                <w:szCs w:val="21"/>
              </w:rPr>
              <w:t>2.▲不少于6个 3" 全频扬声器</w:t>
            </w:r>
          </w:p>
          <w:p>
            <w:pPr>
              <w:jc w:val="left"/>
              <w:rPr>
                <w:szCs w:val="21"/>
              </w:rPr>
            </w:pPr>
            <w:r>
              <w:rPr>
                <w:rFonts w:hint="eastAsia"/>
                <w:szCs w:val="21"/>
              </w:rPr>
              <w:t>3.阻抗 :16Ω</w:t>
            </w:r>
          </w:p>
          <w:p>
            <w:pPr>
              <w:jc w:val="left"/>
              <w:rPr>
                <w:szCs w:val="21"/>
              </w:rPr>
            </w:pPr>
            <w:r>
              <w:rPr>
                <w:rFonts w:hint="eastAsia"/>
                <w:szCs w:val="21"/>
              </w:rPr>
              <w:t>4.▲额定功率不低于120W</w:t>
            </w:r>
          </w:p>
          <w:p>
            <w:pPr>
              <w:jc w:val="left"/>
              <w:rPr>
                <w:szCs w:val="21"/>
              </w:rPr>
            </w:pPr>
            <w:r>
              <w:rPr>
                <w:rFonts w:hint="eastAsia"/>
                <w:szCs w:val="21"/>
              </w:rPr>
              <w:t>5.频率范围(±3dB): 150Hz-17KHz</w:t>
            </w:r>
          </w:p>
          <w:p>
            <w:pPr>
              <w:jc w:val="left"/>
              <w:rPr>
                <w:szCs w:val="21"/>
              </w:rPr>
            </w:pPr>
            <w:r>
              <w:rPr>
                <w:rFonts w:hint="eastAsia"/>
                <w:szCs w:val="21"/>
              </w:rPr>
              <w:t>6.▲灵敏度(1M/1W) :95dB</w:t>
            </w:r>
          </w:p>
          <w:p>
            <w:pPr>
              <w:jc w:val="left"/>
              <w:rPr>
                <w:szCs w:val="21"/>
              </w:rPr>
            </w:pPr>
            <w:r>
              <w:rPr>
                <w:rFonts w:hint="eastAsia"/>
                <w:szCs w:val="21"/>
              </w:rPr>
              <w:t>7.▲最大声压级: 123dB 峰值</w:t>
            </w:r>
          </w:p>
          <w:p>
            <w:pPr>
              <w:jc w:val="left"/>
              <w:rPr>
                <w:szCs w:val="21"/>
              </w:rPr>
            </w:pPr>
            <w:r>
              <w:rPr>
                <w:rFonts w:hint="eastAsia"/>
                <w:szCs w:val="21"/>
              </w:rPr>
              <w:t>8.扩散角: 100° Hx 20° V</w:t>
            </w:r>
          </w:p>
          <w:p>
            <w:pPr>
              <w:jc w:val="left"/>
              <w:rPr>
                <w:szCs w:val="21"/>
              </w:rPr>
            </w:pPr>
            <w:r>
              <w:rPr>
                <w:rFonts w:hint="eastAsia"/>
                <w:szCs w:val="21"/>
              </w:rPr>
              <w:t>9.箱体材质 :铝合金</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12</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12</w:t>
            </w:r>
          </w:p>
        </w:tc>
        <w:tc>
          <w:tcPr>
            <w:tcW w:w="929" w:type="dxa"/>
            <w:shd w:val="clear" w:color="auto" w:fill="auto"/>
            <w:vAlign w:val="center"/>
          </w:tcPr>
          <w:p>
            <w:pPr>
              <w:jc w:val="center"/>
              <w:rPr>
                <w:szCs w:val="21"/>
              </w:rPr>
            </w:pPr>
            <w:r>
              <w:rPr>
                <w:rFonts w:hint="eastAsia"/>
                <w:color w:val="000000"/>
                <w:szCs w:val="21"/>
              </w:rPr>
              <w:t>主扩声音箱功率放大器</w:t>
            </w:r>
          </w:p>
        </w:tc>
        <w:tc>
          <w:tcPr>
            <w:tcW w:w="6715" w:type="dxa"/>
            <w:shd w:val="clear" w:color="auto" w:fill="auto"/>
          </w:tcPr>
          <w:p>
            <w:pPr>
              <w:jc w:val="left"/>
              <w:rPr>
                <w:szCs w:val="21"/>
              </w:rPr>
            </w:pPr>
            <w:r>
              <w:rPr>
                <w:rFonts w:hint="eastAsia"/>
                <w:szCs w:val="21"/>
              </w:rPr>
              <w:t>1.输出功率：2×330W/8Ω，2×600W/4Ω，2×900W/2Ω，1×1200W/8Ω，1×1800W/4Ω；</w:t>
            </w:r>
          </w:p>
          <w:p>
            <w:pPr>
              <w:jc w:val="left"/>
              <w:rPr>
                <w:szCs w:val="21"/>
              </w:rPr>
            </w:pPr>
            <w:r>
              <w:rPr>
                <w:rFonts w:hint="eastAsia"/>
                <w:szCs w:val="21"/>
              </w:rPr>
              <w:t>2.输入灵敏度： 0.775V；</w:t>
            </w:r>
          </w:p>
          <w:p>
            <w:pPr>
              <w:jc w:val="left"/>
              <w:rPr>
                <w:szCs w:val="21"/>
              </w:rPr>
            </w:pPr>
            <w:r>
              <w:rPr>
                <w:rFonts w:hint="eastAsia"/>
                <w:szCs w:val="21"/>
              </w:rPr>
              <w:t>3.电压增益：35dB；</w:t>
            </w:r>
          </w:p>
          <w:p>
            <w:pPr>
              <w:jc w:val="left"/>
              <w:rPr>
                <w:szCs w:val="21"/>
              </w:rPr>
            </w:pPr>
            <w:r>
              <w:rPr>
                <w:rFonts w:hint="eastAsia"/>
                <w:szCs w:val="21"/>
              </w:rPr>
              <w:t>4.转换速率&gt;30v/μs；</w:t>
            </w:r>
          </w:p>
          <w:p>
            <w:pPr>
              <w:jc w:val="left"/>
              <w:rPr>
                <w:szCs w:val="21"/>
              </w:rPr>
            </w:pPr>
            <w:r>
              <w:rPr>
                <w:rFonts w:hint="eastAsia"/>
                <w:szCs w:val="21"/>
              </w:rPr>
              <w:t>5.输入阻抗：平衡20KΩ，不平衡10KΩ；</w:t>
            </w:r>
          </w:p>
          <w:p>
            <w:pPr>
              <w:jc w:val="left"/>
              <w:rPr>
                <w:szCs w:val="21"/>
              </w:rPr>
            </w:pPr>
            <w:r>
              <w:rPr>
                <w:rFonts w:hint="eastAsia"/>
                <w:szCs w:val="21"/>
              </w:rPr>
              <w:t>6.信噪比（20Hz－20kHz）：100dB；</w:t>
            </w:r>
          </w:p>
          <w:p>
            <w:pPr>
              <w:jc w:val="left"/>
              <w:rPr>
                <w:szCs w:val="21"/>
              </w:rPr>
            </w:pPr>
            <w:r>
              <w:rPr>
                <w:rFonts w:hint="eastAsia"/>
                <w:szCs w:val="21"/>
              </w:rPr>
              <w:t>7.失真：小于0.05%；</w:t>
            </w:r>
          </w:p>
          <w:p>
            <w:pPr>
              <w:jc w:val="left"/>
              <w:rPr>
                <w:szCs w:val="21"/>
              </w:rPr>
            </w:pPr>
            <w:r>
              <w:rPr>
                <w:rFonts w:hint="eastAsia"/>
                <w:szCs w:val="21"/>
              </w:rPr>
              <w:t>8.短路保护；开路保护及过热保护；</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3</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711"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13</w:t>
            </w:r>
          </w:p>
        </w:tc>
        <w:tc>
          <w:tcPr>
            <w:tcW w:w="929"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系统集成</w:t>
            </w:r>
          </w:p>
        </w:tc>
        <w:tc>
          <w:tcPr>
            <w:tcW w:w="6715" w:type="dxa"/>
            <w:shd w:val="clear" w:color="auto" w:fill="auto"/>
            <w:vAlign w:val="center"/>
          </w:tcPr>
          <w:p>
            <w:pPr>
              <w:jc w:val="left"/>
              <w:rPr>
                <w:rFonts w:asciiTheme="minorEastAsia" w:hAnsiTheme="minorEastAsia"/>
                <w:szCs w:val="21"/>
              </w:rPr>
            </w:pPr>
            <w:r>
              <w:rPr>
                <w:rFonts w:hint="eastAsia" w:asciiTheme="minorEastAsia" w:hAnsiTheme="minorEastAsia"/>
                <w:szCs w:val="21"/>
              </w:rPr>
              <w:t>1、强电应采用阻燃硬质PVC线管走线，弱电应采用PVC线管（槽）走线，不得采用钢、铁等材质的线槽（管）。所有线缆在转弯处需采用过线盒、弯头或者软管进行保护，避免线缆裸露；</w:t>
            </w:r>
          </w:p>
          <w:p>
            <w:pPr>
              <w:jc w:val="left"/>
              <w:rPr>
                <w:rFonts w:asciiTheme="minorEastAsia" w:hAnsiTheme="minorEastAsia"/>
                <w:szCs w:val="21"/>
              </w:rPr>
            </w:pPr>
            <w:r>
              <w:rPr>
                <w:rFonts w:hint="eastAsia" w:asciiTheme="minorEastAsia" w:hAnsiTheme="minorEastAsia"/>
                <w:szCs w:val="21"/>
              </w:rPr>
              <w:t>2、网线要求：8芯六类非屏蔽双绞线，超过TIA/EIA 568B.2六类标准，CM防火级别，纯铜8芯，芯径0.5mm，阻燃外皮；</w:t>
            </w:r>
          </w:p>
          <w:p>
            <w:pPr>
              <w:jc w:val="left"/>
              <w:rPr>
                <w:rFonts w:asciiTheme="minorEastAsia" w:hAnsiTheme="minorEastAsia"/>
                <w:szCs w:val="21"/>
              </w:rPr>
            </w:pPr>
            <w:r>
              <w:rPr>
                <w:rFonts w:hint="eastAsia" w:asciiTheme="minorEastAsia" w:hAnsiTheme="minorEastAsia"/>
                <w:szCs w:val="21"/>
              </w:rPr>
              <w:t>3、电源线要求：≥2.5mm²；</w:t>
            </w:r>
          </w:p>
          <w:p>
            <w:pPr>
              <w:jc w:val="left"/>
              <w:rPr>
                <w:rFonts w:asciiTheme="minorEastAsia" w:hAnsiTheme="minorEastAsia"/>
                <w:szCs w:val="21"/>
              </w:rPr>
            </w:pPr>
            <w:r>
              <w:rPr>
                <w:rFonts w:hint="eastAsia" w:asciiTheme="minorEastAsia" w:hAnsiTheme="minorEastAsia"/>
                <w:szCs w:val="21"/>
              </w:rPr>
              <w:t>4、线路、管道需从地下铺设，在进入讲台部分，需通过PVC管将线路保护，避免线缆裸露。地面走线开槽深度不小于20mm，开槽深度受限制时，应与学校协商制作讲台地台或采用其它可行的双方认可的工艺或方法解决，线</w:t>
            </w:r>
          </w:p>
          <w:p>
            <w:pPr>
              <w:jc w:val="left"/>
              <w:rPr>
                <w:rFonts w:asciiTheme="minorEastAsia" w:hAnsiTheme="minorEastAsia"/>
                <w:szCs w:val="21"/>
              </w:rPr>
            </w:pPr>
            <w:r>
              <w:rPr>
                <w:rFonts w:hint="eastAsia" w:asciiTheme="minorEastAsia" w:hAnsiTheme="minorEastAsia"/>
                <w:szCs w:val="21"/>
              </w:rPr>
              <w:t>槽固定后恢复地面原状；</w:t>
            </w:r>
          </w:p>
          <w:p>
            <w:pPr>
              <w:jc w:val="left"/>
              <w:rPr>
                <w:rFonts w:asciiTheme="minorEastAsia" w:hAnsiTheme="minorEastAsia"/>
                <w:szCs w:val="21"/>
              </w:rPr>
            </w:pPr>
            <w:r>
              <w:rPr>
                <w:rFonts w:hint="eastAsia" w:asciiTheme="minorEastAsia" w:hAnsiTheme="minorEastAsia"/>
                <w:szCs w:val="21"/>
              </w:rPr>
              <w:t>5、强电布线时必须铺设接地线，并使设备有效接地。强电线径需符合终端负载要求，避免线路过载引起的开关跳闸或线路过热起火，强电电线应采用护套线，接地线线径不应小于火线及零线线径，所采用的电源插座需与线路相匹配；</w:t>
            </w:r>
          </w:p>
          <w:p>
            <w:pPr>
              <w:rPr>
                <w:rFonts w:asciiTheme="minorEastAsia" w:hAnsiTheme="minorEastAsia"/>
                <w:color w:val="000000"/>
                <w:szCs w:val="21"/>
              </w:rPr>
            </w:pPr>
            <w:r>
              <w:rPr>
                <w:rFonts w:hint="eastAsia" w:asciiTheme="minorEastAsia" w:hAnsiTheme="minorEastAsia"/>
                <w:szCs w:val="21"/>
              </w:rPr>
              <w:t>6、开槽或安装不锈钢盖板，须有效接地，多段盖板相互有效连接</w:t>
            </w:r>
            <w:r>
              <w:rPr>
                <w:rFonts w:hint="eastAsia" w:asciiTheme="minorEastAsia" w:hAnsiTheme="minorEastAsia"/>
                <w:color w:val="000000"/>
                <w:szCs w:val="21"/>
              </w:rPr>
              <w:t>。</w:t>
            </w:r>
          </w:p>
        </w:tc>
        <w:tc>
          <w:tcPr>
            <w:tcW w:w="63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53</w:t>
            </w:r>
          </w:p>
        </w:tc>
        <w:tc>
          <w:tcPr>
            <w:tcW w:w="818"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项</w:t>
            </w:r>
          </w:p>
        </w:tc>
      </w:tr>
    </w:tbl>
    <w:p>
      <w:pPr>
        <w:widowControl w:val="0"/>
        <w:shd w:val="clear" w:color="auto" w:fill="auto"/>
        <w:tabs>
          <w:tab w:val="clear" w:pos="426"/>
        </w:tabs>
        <w:adjustRightInd/>
        <w:snapToGrid/>
        <w:spacing w:before="120" w:beforeLines="50" w:line="300" w:lineRule="auto"/>
        <w:ind w:firstLine="420" w:firstLineChars="200"/>
        <w:rPr>
          <w:rFonts w:cs="Times New Roman"/>
          <w:kern w:val="2"/>
          <w:szCs w:val="21"/>
        </w:rPr>
      </w:pPr>
      <w:r>
        <w:rPr>
          <w:rFonts w:hint="eastAsia" w:cs="Times New Roman"/>
          <w:kern w:val="2"/>
          <w:szCs w:val="21"/>
        </w:rPr>
        <w:t>备注：</w:t>
      </w:r>
    </w:p>
    <w:p>
      <w:pPr>
        <w:widowControl w:val="0"/>
        <w:shd w:val="clear" w:color="auto" w:fill="auto"/>
        <w:tabs>
          <w:tab w:val="clear" w:pos="426"/>
        </w:tabs>
        <w:adjustRightInd/>
        <w:snapToGrid/>
        <w:spacing w:before="120" w:beforeLines="50" w:line="300" w:lineRule="auto"/>
        <w:ind w:firstLine="420" w:firstLineChars="200"/>
        <w:rPr>
          <w:rFonts w:cs="Times New Roman"/>
          <w:kern w:val="2"/>
          <w:szCs w:val="21"/>
        </w:rPr>
      </w:pPr>
      <w:r>
        <w:rPr>
          <w:rFonts w:hint="eastAsia" w:cs="Times New Roman"/>
          <w:kern w:val="2"/>
          <w:szCs w:val="21"/>
        </w:rPr>
        <w:t>1</w:t>
      </w:r>
      <w:r>
        <w:rPr>
          <w:rFonts w:cs="Times New Roman"/>
          <w:kern w:val="2"/>
          <w:szCs w:val="21"/>
        </w:rPr>
        <w:t>.技术要求分为一般技术要求</w:t>
      </w:r>
      <w:r>
        <w:rPr>
          <w:rFonts w:hint="eastAsia" w:cs="Times New Roman"/>
          <w:kern w:val="2"/>
          <w:szCs w:val="21"/>
        </w:rPr>
        <w:t>、</w:t>
      </w:r>
      <w:r>
        <w:rPr>
          <w:rFonts w:cs="Times New Roman"/>
          <w:kern w:val="2"/>
          <w:szCs w:val="21"/>
        </w:rPr>
        <w:t>重要技术要求</w:t>
      </w:r>
      <w:r>
        <w:rPr>
          <w:rFonts w:hint="eastAsia" w:cs="Times New Roman"/>
          <w:kern w:val="2"/>
          <w:szCs w:val="21"/>
        </w:rPr>
        <w:t>（以“▲”标注）</w:t>
      </w:r>
      <w:r>
        <w:rPr>
          <w:rFonts w:cs="Times New Roman"/>
          <w:kern w:val="2"/>
          <w:szCs w:val="21"/>
        </w:rPr>
        <w:t>和实质性技术要求</w:t>
      </w:r>
      <w:r>
        <w:rPr>
          <w:rFonts w:hint="eastAsia" w:cs="Times New Roman"/>
          <w:kern w:val="2"/>
          <w:szCs w:val="21"/>
        </w:rPr>
        <w:t>（以</w:t>
      </w:r>
      <w:r>
        <w:rPr>
          <w:rFonts w:cs="Times New Roman"/>
          <w:kern w:val="2"/>
          <w:szCs w:val="21"/>
        </w:rPr>
        <w:t>”</w:t>
      </w:r>
      <w:r>
        <w:rPr>
          <w:rFonts w:hint="eastAsia" w:cs="Times New Roman"/>
          <w:kern w:val="2"/>
          <w:szCs w:val="21"/>
        </w:rPr>
        <w:t>★</w:t>
      </w:r>
      <w:r>
        <w:rPr>
          <w:rFonts w:cs="Times New Roman"/>
          <w:kern w:val="2"/>
          <w:szCs w:val="21"/>
        </w:rPr>
        <w:t>”</w:t>
      </w:r>
      <w:r>
        <w:rPr>
          <w:rFonts w:hint="eastAsia" w:cs="Times New Roman"/>
          <w:kern w:val="2"/>
          <w:szCs w:val="21"/>
        </w:rPr>
        <w:t>标注）。一般技术要求和重要技术要求若出现不响应或负偏离，其综合评分的相关分数将予以扣减，但不作为无效标条款。实质性技术要求（以</w:t>
      </w:r>
      <w:r>
        <w:rPr>
          <w:rFonts w:cs="Times New Roman"/>
          <w:kern w:val="2"/>
          <w:szCs w:val="21"/>
        </w:rPr>
        <w:t>”</w:t>
      </w:r>
      <w:r>
        <w:rPr>
          <w:rFonts w:hint="eastAsia" w:cs="Times New Roman"/>
          <w:kern w:val="2"/>
          <w:szCs w:val="21"/>
        </w:rPr>
        <w:t>★</w:t>
      </w:r>
      <w:r>
        <w:rPr>
          <w:rFonts w:cs="Times New Roman"/>
          <w:kern w:val="2"/>
          <w:szCs w:val="21"/>
        </w:rPr>
        <w:t>”</w:t>
      </w:r>
      <w:r>
        <w:rPr>
          <w:rFonts w:hint="eastAsia" w:cs="Times New Roman"/>
          <w:kern w:val="2"/>
          <w:szCs w:val="21"/>
        </w:rPr>
        <w:t>标注）若出现不响应或任何的负偏离，将导致投标无效。</w:t>
      </w:r>
    </w:p>
    <w:p>
      <w:pPr>
        <w:widowControl w:val="0"/>
        <w:shd w:val="clear" w:color="auto" w:fill="auto"/>
        <w:tabs>
          <w:tab w:val="clear" w:pos="426"/>
        </w:tabs>
        <w:adjustRightInd/>
        <w:snapToGrid/>
        <w:spacing w:before="120" w:beforeLines="50" w:line="300" w:lineRule="auto"/>
        <w:ind w:firstLine="420" w:firstLineChars="200"/>
        <w:rPr>
          <w:rFonts w:cs="Times New Roman"/>
          <w:kern w:val="2"/>
          <w:szCs w:val="21"/>
        </w:rPr>
      </w:pPr>
      <w:r>
        <w:rPr>
          <w:rFonts w:cs="Times New Roman"/>
          <w:kern w:val="2"/>
          <w:szCs w:val="21"/>
        </w:rPr>
        <w:t>2.若“招标技术要求”要求对投标产品的技术参数提供相应的证明资料，以证明投标人响应的真实性，投标人应按照招标文件的要求提供证明资料</w:t>
      </w:r>
      <w:r>
        <w:rPr>
          <w:rFonts w:hint="eastAsia" w:cs="Times New Roman"/>
          <w:kern w:val="2"/>
          <w:szCs w:val="21"/>
        </w:rPr>
        <w:t>（例如：</w:t>
      </w:r>
      <w:r>
        <w:rPr>
          <w:rFonts w:cs="Times New Roman"/>
          <w:kern w:val="2"/>
          <w:szCs w:val="21"/>
        </w:rPr>
        <w:t>制造商公布的产品说明书、或产品彩页、或我国政府机构出具的产品检验和核准证件等</w:t>
      </w:r>
      <w:r>
        <w:rPr>
          <w:rFonts w:hint="eastAsia" w:cs="Times New Roman"/>
          <w:kern w:val="2"/>
          <w:szCs w:val="21"/>
        </w:rPr>
        <w:t>）</w:t>
      </w:r>
      <w:r>
        <w:rPr>
          <w:rFonts w:cs="Times New Roman"/>
          <w:kern w:val="2"/>
          <w:szCs w:val="21"/>
        </w:rPr>
        <w:t>。投标人应在</w:t>
      </w:r>
      <w:r>
        <w:rPr>
          <w:rFonts w:hint="eastAsia" w:cs="Times New Roman"/>
          <w:kern w:val="2"/>
          <w:szCs w:val="21"/>
        </w:rPr>
        <w:t>《技术规格偏离表》</w:t>
      </w:r>
      <w:r>
        <w:rPr>
          <w:rFonts w:cs="Times New Roman"/>
          <w:kern w:val="2"/>
          <w:szCs w:val="21"/>
        </w:rPr>
        <w:t>"说明"一栏中列出技术参数的证明资料名称，并指明该证明资料在投标文件中的具体位置。</w:t>
      </w:r>
    </w:p>
    <w:p>
      <w:pPr>
        <w:widowControl w:val="0"/>
        <w:shd w:val="clear" w:color="auto" w:fill="auto"/>
        <w:tabs>
          <w:tab w:val="clear" w:pos="426"/>
        </w:tabs>
        <w:adjustRightInd/>
        <w:snapToGrid/>
        <w:spacing w:before="120" w:beforeLines="50" w:line="300" w:lineRule="auto"/>
        <w:ind w:firstLine="420" w:firstLineChars="200"/>
        <w:rPr>
          <w:rFonts w:cs="Times New Roman"/>
          <w:kern w:val="2"/>
          <w:szCs w:val="21"/>
        </w:rPr>
      </w:pPr>
      <w:r>
        <w:rPr>
          <w:rFonts w:hint="eastAsia" w:cs="Times New Roman"/>
          <w:kern w:val="2"/>
          <w:szCs w:val="21"/>
        </w:rPr>
        <w:t>若“招标技术要求”没有要求对投标产品的技术参数提供相应的证明资料，投标人所提供的《技术规格偏离表》即为对招标技术要求作出投标技术响应的书面承诺，投标人在中标后应严格按照承诺内容供货和履约，否则采购人有权将相关情况报政府采购主管部门并依据相关法律法规追究投标人的责任。</w:t>
      </w:r>
    </w:p>
    <w:p>
      <w:pPr>
        <w:widowControl w:val="0"/>
        <w:shd w:val="clear" w:color="auto" w:fill="auto"/>
        <w:tabs>
          <w:tab w:val="clear" w:pos="426"/>
        </w:tabs>
        <w:adjustRightInd/>
        <w:snapToGrid/>
        <w:spacing w:before="120" w:beforeLines="50" w:line="300" w:lineRule="auto"/>
        <w:ind w:firstLine="420" w:firstLineChars="200"/>
        <w:rPr>
          <w:rFonts w:cs="Times New Roman"/>
          <w:kern w:val="2"/>
          <w:szCs w:val="21"/>
        </w:rPr>
      </w:pPr>
      <w:r>
        <w:rPr>
          <w:rFonts w:cs="Times New Roman"/>
          <w:kern w:val="2"/>
          <w:szCs w:val="21"/>
        </w:rPr>
        <w:t>未达到以上提供要求的，评标委员会有权认定为不合格响应，其相关分数予以扣减。</w:t>
      </w:r>
    </w:p>
    <w:p>
      <w:pPr>
        <w:numPr>
          <w:ilvl w:val="0"/>
          <w:numId w:val="32"/>
        </w:numPr>
        <w:adjustRightInd/>
        <w:snapToGrid/>
        <w:spacing w:before="280" w:after="290" w:line="377" w:lineRule="auto"/>
        <w:jc w:val="left"/>
        <w:outlineLvl w:val="2"/>
        <w:rPr>
          <w:b/>
          <w:sz w:val="24"/>
        </w:rPr>
      </w:pPr>
      <w:r>
        <w:rPr>
          <w:rFonts w:hint="eastAsia"/>
          <w:b/>
          <w:sz w:val="24"/>
        </w:rPr>
        <w:t>商务需求</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757"/>
        <w:gridCol w:w="6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367" w:type="dxa"/>
            <w:vAlign w:val="center"/>
          </w:tcPr>
          <w:p>
            <w:pPr>
              <w:spacing w:line="240" w:lineRule="auto"/>
              <w:jc w:val="center"/>
              <w:rPr>
                <w:b/>
              </w:rPr>
            </w:pPr>
            <w:r>
              <w:rPr>
                <w:rFonts w:hint="eastAsia"/>
                <w:b/>
              </w:rPr>
              <w:t>序号</w:t>
            </w:r>
          </w:p>
        </w:tc>
        <w:tc>
          <w:tcPr>
            <w:tcW w:w="1757" w:type="dxa"/>
            <w:vAlign w:val="center"/>
          </w:tcPr>
          <w:p>
            <w:pPr>
              <w:spacing w:line="240" w:lineRule="auto"/>
              <w:jc w:val="center"/>
              <w:rPr>
                <w:b/>
              </w:rPr>
            </w:pPr>
            <w:r>
              <w:rPr>
                <w:rFonts w:hint="eastAsia"/>
                <w:b/>
              </w:rPr>
              <w:t>目录</w:t>
            </w:r>
          </w:p>
        </w:tc>
        <w:tc>
          <w:tcPr>
            <w:tcW w:w="6446" w:type="dxa"/>
            <w:vAlign w:val="center"/>
          </w:tcPr>
          <w:p>
            <w:pPr>
              <w:spacing w:line="240" w:lineRule="auto"/>
              <w:jc w:val="center"/>
              <w:rPr>
                <w:b/>
              </w:rPr>
            </w:pPr>
            <w:r>
              <w:rPr>
                <w:rFonts w:hint="eastAsia"/>
                <w:b/>
              </w:rPr>
              <w:t>招标商务需求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570" w:type="dxa"/>
            <w:gridSpan w:val="3"/>
            <w:vAlign w:val="center"/>
          </w:tcPr>
          <w:p>
            <w:pPr>
              <w:spacing w:line="240" w:lineRule="auto"/>
              <w:rPr>
                <w:b/>
              </w:rPr>
            </w:pPr>
            <w:r>
              <w:rPr>
                <w:rFonts w:hint="eastAsia"/>
                <w:b/>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trPr>
        <w:tc>
          <w:tcPr>
            <w:tcW w:w="1367" w:type="dxa"/>
            <w:vMerge w:val="restart"/>
            <w:vAlign w:val="center"/>
          </w:tcPr>
          <w:p>
            <w:pPr>
              <w:spacing w:line="240" w:lineRule="auto"/>
              <w:jc w:val="center"/>
              <w:rPr>
                <w:b/>
              </w:rPr>
            </w:pPr>
            <w:r>
              <w:rPr>
                <w:rFonts w:hint="eastAsia"/>
                <w:b/>
              </w:rPr>
              <w:t>1</w:t>
            </w:r>
          </w:p>
        </w:tc>
        <w:tc>
          <w:tcPr>
            <w:tcW w:w="1757" w:type="dxa"/>
            <w:vMerge w:val="restart"/>
            <w:vAlign w:val="center"/>
          </w:tcPr>
          <w:p>
            <w:pPr>
              <w:spacing w:line="240" w:lineRule="auto"/>
            </w:pPr>
            <w:r>
              <w:rPr>
                <w:rFonts w:hint="eastAsia"/>
              </w:rPr>
              <w:t>维修响应及故障解决时间</w:t>
            </w:r>
          </w:p>
        </w:tc>
        <w:tc>
          <w:tcPr>
            <w:tcW w:w="6446" w:type="dxa"/>
            <w:vAlign w:val="center"/>
          </w:tcPr>
          <w:p>
            <w:pPr>
              <w:spacing w:line="240" w:lineRule="auto"/>
              <w:rPr>
                <w:b/>
              </w:rPr>
            </w:pPr>
            <w:r>
              <w:rPr>
                <w:rFonts w:hint="eastAsia" w:cs="Times New Roman"/>
                <w:kern w:val="2"/>
                <w:szCs w:val="21"/>
              </w:rPr>
              <w:t>★</w:t>
            </w:r>
            <w:r>
              <w:rPr>
                <w:rFonts w:hint="eastAsia"/>
                <w:bCs/>
              </w:rPr>
              <w:t>1、保修期要求：整机原厂保修期</w:t>
            </w:r>
            <w:r>
              <w:rPr>
                <w:rFonts w:hint="eastAsia"/>
                <w:b/>
              </w:rPr>
              <w:t>3</w:t>
            </w:r>
            <w:r>
              <w:rPr>
                <w:rFonts w:hint="eastAsia"/>
                <w:bCs/>
              </w:rPr>
              <w:t>年，时间自最终验收合格并交付使用之日起计算。在保修期内，一旦发生质量问题，投标人保证在接到通知24小时内赶到现场进行修理或更换。保修期内免费提供配件和人工维修，无法修理的予以免费更换。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trPr>
        <w:tc>
          <w:tcPr>
            <w:tcW w:w="1367" w:type="dxa"/>
            <w:vMerge w:val="continue"/>
            <w:vAlign w:val="center"/>
          </w:tcPr>
          <w:p>
            <w:pPr>
              <w:spacing w:line="240" w:lineRule="auto"/>
            </w:pPr>
          </w:p>
        </w:tc>
        <w:tc>
          <w:tcPr>
            <w:tcW w:w="1757" w:type="dxa"/>
            <w:vMerge w:val="continue"/>
            <w:vAlign w:val="center"/>
          </w:tcPr>
          <w:p>
            <w:pPr>
              <w:spacing w:line="240" w:lineRule="auto"/>
            </w:pPr>
          </w:p>
        </w:tc>
        <w:tc>
          <w:tcPr>
            <w:tcW w:w="6446" w:type="dxa"/>
            <w:vAlign w:val="center"/>
          </w:tcPr>
          <w:p>
            <w:pPr>
              <w:spacing w:line="240" w:lineRule="auto"/>
              <w:rPr>
                <w:bCs/>
              </w:rPr>
            </w:pPr>
            <w:r>
              <w:rPr>
                <w:rFonts w:hint="eastAsia"/>
                <w:bCs/>
              </w:rPr>
              <w:t>2、故障响应要求：3年保修期内（7天*24小时）技术支持服务；2小时电话响应，故障报修后第1个工作日现场服务；1个工作日内解决问题，否则在2个工作日内免费提供备用机,备用机可在故障现场免费替换安装调试，或者送至市内指定办公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367" w:type="dxa"/>
            <w:vMerge w:val="continue"/>
            <w:vAlign w:val="center"/>
          </w:tcPr>
          <w:p>
            <w:pPr>
              <w:spacing w:line="240" w:lineRule="auto"/>
              <w:rPr>
                <w:bCs/>
              </w:rPr>
            </w:pPr>
          </w:p>
        </w:tc>
        <w:tc>
          <w:tcPr>
            <w:tcW w:w="1757" w:type="dxa"/>
            <w:vMerge w:val="continue"/>
            <w:vAlign w:val="center"/>
          </w:tcPr>
          <w:p>
            <w:pPr>
              <w:spacing w:line="240" w:lineRule="auto"/>
              <w:rPr>
                <w:bCs/>
              </w:rPr>
            </w:pPr>
          </w:p>
        </w:tc>
        <w:tc>
          <w:tcPr>
            <w:tcW w:w="6446" w:type="dxa"/>
            <w:vAlign w:val="center"/>
          </w:tcPr>
          <w:p>
            <w:pPr>
              <w:spacing w:line="240" w:lineRule="auto"/>
              <w:rPr>
                <w:bCs/>
              </w:rPr>
            </w:pPr>
            <w:r>
              <w:rPr>
                <w:rFonts w:hint="eastAsia"/>
                <w:bCs/>
              </w:rPr>
              <w:t>3、其他商务需求:由厂商认证的工程师，上门安装调试，并在验收合格后对使用人员进行相关培训，培训时间不少于1个工作日。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367" w:type="dxa"/>
            <w:vAlign w:val="center"/>
          </w:tcPr>
          <w:p>
            <w:pPr>
              <w:spacing w:line="240" w:lineRule="auto"/>
              <w:jc w:val="center"/>
              <w:rPr>
                <w:rFonts w:hint="eastAsia" w:eastAsia="宋体"/>
                <w:b/>
                <w:lang w:val="en-US" w:eastAsia="zh-CN"/>
              </w:rPr>
            </w:pPr>
            <w:r>
              <w:rPr>
                <w:rFonts w:hint="eastAsia"/>
                <w:b/>
                <w:lang w:val="en-US" w:eastAsia="zh-CN"/>
              </w:rPr>
              <w:t>2</w:t>
            </w:r>
          </w:p>
        </w:tc>
        <w:tc>
          <w:tcPr>
            <w:tcW w:w="1757" w:type="dxa"/>
            <w:vAlign w:val="center"/>
          </w:tcPr>
          <w:p>
            <w:pPr>
              <w:spacing w:line="240" w:lineRule="auto"/>
              <w:rPr>
                <w:b/>
              </w:rPr>
            </w:pPr>
            <w:r>
              <w:rPr>
                <w:rFonts w:hint="eastAsia"/>
              </w:rPr>
              <w:t>其他</w:t>
            </w:r>
          </w:p>
        </w:tc>
        <w:tc>
          <w:tcPr>
            <w:tcW w:w="6446" w:type="dxa"/>
            <w:vAlign w:val="center"/>
          </w:tcPr>
          <w:p>
            <w:pPr>
              <w:spacing w:line="240" w:lineRule="auto"/>
              <w:rPr>
                <w:b/>
              </w:rPr>
            </w:pPr>
            <w:r>
              <w:rPr>
                <w:rFonts w:hint="eastAsia"/>
                <w:bCs/>
                <w:szCs w:val="21"/>
              </w:rPr>
              <w:t>投标人应按其投标文件中的承诺，进行其他售后服务工作。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570" w:type="dxa"/>
            <w:gridSpan w:val="3"/>
            <w:vAlign w:val="center"/>
          </w:tcPr>
          <w:p>
            <w:pPr>
              <w:spacing w:line="240" w:lineRule="auto"/>
              <w:rPr>
                <w:b/>
              </w:rPr>
            </w:pPr>
            <w:r>
              <w:rPr>
                <w:rFonts w:hint="eastAsia"/>
                <w:b/>
              </w:rPr>
              <w:t>（二）其他商务要求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367" w:type="dxa"/>
            <w:vMerge w:val="restart"/>
            <w:vAlign w:val="center"/>
          </w:tcPr>
          <w:p>
            <w:pPr>
              <w:spacing w:line="240" w:lineRule="auto"/>
              <w:jc w:val="center"/>
              <w:rPr>
                <w:b/>
              </w:rPr>
            </w:pPr>
            <w:r>
              <w:rPr>
                <w:rFonts w:hint="eastAsia"/>
                <w:b/>
              </w:rPr>
              <w:t>1</w:t>
            </w:r>
          </w:p>
        </w:tc>
        <w:tc>
          <w:tcPr>
            <w:tcW w:w="1757" w:type="dxa"/>
            <w:vMerge w:val="restart"/>
            <w:vAlign w:val="center"/>
          </w:tcPr>
          <w:p>
            <w:pPr>
              <w:spacing w:line="240" w:lineRule="auto"/>
              <w:jc w:val="center"/>
            </w:pPr>
            <w:r>
              <w:rPr>
                <w:rFonts w:hint="eastAsia"/>
              </w:rPr>
              <w:t>关于交货</w:t>
            </w:r>
          </w:p>
        </w:tc>
        <w:tc>
          <w:tcPr>
            <w:tcW w:w="6446" w:type="dxa"/>
            <w:vAlign w:val="center"/>
          </w:tcPr>
          <w:p>
            <w:pPr>
              <w:spacing w:line="240" w:lineRule="auto"/>
              <w:rPr>
                <w:bCs/>
                <w:szCs w:val="21"/>
              </w:rPr>
            </w:pPr>
            <w:r>
              <w:rPr>
                <w:rFonts w:hint="eastAsia" w:cs="Times New Roman"/>
                <w:kern w:val="2"/>
                <w:szCs w:val="21"/>
              </w:rPr>
              <w:t>★</w:t>
            </w:r>
            <w:r>
              <w:rPr>
                <w:rFonts w:hint="eastAsia"/>
                <w:bCs/>
                <w:szCs w:val="21"/>
              </w:rPr>
              <w:t>1.1签订合同后</w:t>
            </w:r>
            <w:r>
              <w:rPr>
                <w:rFonts w:hint="eastAsia"/>
                <w:b/>
                <w:szCs w:val="21"/>
              </w:rPr>
              <w:t>30天（日历日）</w:t>
            </w:r>
            <w:r>
              <w:rPr>
                <w:rFonts w:hint="eastAsia"/>
                <w:bCs/>
                <w:szCs w:val="21"/>
              </w:rPr>
              <w:t>内交货。免费送货上门、安装、调试、验收、培训。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1367" w:type="dxa"/>
            <w:vMerge w:val="continue"/>
            <w:vAlign w:val="center"/>
          </w:tcPr>
          <w:p>
            <w:pPr>
              <w:spacing w:line="240" w:lineRule="auto"/>
              <w:jc w:val="center"/>
              <w:rPr>
                <w:b/>
              </w:rPr>
            </w:pPr>
          </w:p>
        </w:tc>
        <w:tc>
          <w:tcPr>
            <w:tcW w:w="1757" w:type="dxa"/>
            <w:vMerge w:val="continue"/>
            <w:vAlign w:val="center"/>
          </w:tcPr>
          <w:p>
            <w:pPr>
              <w:spacing w:line="240" w:lineRule="auto"/>
              <w:jc w:val="center"/>
            </w:pPr>
          </w:p>
        </w:tc>
        <w:tc>
          <w:tcPr>
            <w:tcW w:w="6446" w:type="dxa"/>
            <w:vAlign w:val="center"/>
          </w:tcPr>
          <w:p>
            <w:pPr>
              <w:spacing w:line="240" w:lineRule="auto"/>
              <w:rPr>
                <w:bCs/>
                <w:szCs w:val="21"/>
              </w:rPr>
            </w:pPr>
            <w:r>
              <w:rPr>
                <w:rFonts w:hint="eastAsia"/>
                <w:bCs/>
                <w:szCs w:val="21"/>
              </w:rPr>
              <w:t>1.2投标人必须承担的设备运输、安装调试、验收检测和提供设备操作说明书、图纸等其他类似的义务。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367" w:type="dxa"/>
            <w:vMerge w:val="restart"/>
            <w:vAlign w:val="center"/>
          </w:tcPr>
          <w:p>
            <w:pPr>
              <w:spacing w:line="240" w:lineRule="auto"/>
              <w:jc w:val="center"/>
              <w:rPr>
                <w:b/>
              </w:rPr>
            </w:pPr>
            <w:r>
              <w:rPr>
                <w:rFonts w:hint="eastAsia"/>
                <w:b/>
              </w:rPr>
              <w:t>2</w:t>
            </w:r>
          </w:p>
        </w:tc>
        <w:tc>
          <w:tcPr>
            <w:tcW w:w="1757" w:type="dxa"/>
            <w:vMerge w:val="restart"/>
            <w:vAlign w:val="center"/>
          </w:tcPr>
          <w:p>
            <w:pPr>
              <w:spacing w:line="240" w:lineRule="auto"/>
              <w:jc w:val="center"/>
            </w:pPr>
            <w:r>
              <w:rPr>
                <w:rFonts w:hint="eastAsia"/>
              </w:rPr>
              <w:t>关于验收</w:t>
            </w:r>
          </w:p>
        </w:tc>
        <w:tc>
          <w:tcPr>
            <w:tcW w:w="6446" w:type="dxa"/>
            <w:vAlign w:val="center"/>
          </w:tcPr>
          <w:p>
            <w:pPr>
              <w:spacing w:line="240" w:lineRule="auto"/>
              <w:rPr>
                <w:bCs/>
                <w:szCs w:val="21"/>
              </w:rPr>
            </w:pPr>
            <w:r>
              <w:rPr>
                <w:rFonts w:hint="eastAsia"/>
                <w:bCs/>
                <w:szCs w:val="21"/>
              </w:rPr>
              <w:t>2.1投标人货物经过双方检验认可后，签署验收报告，产品保修期自验收合格之日起算，由投标人提供产品保修文件。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4" w:hRule="atLeast"/>
        </w:trPr>
        <w:tc>
          <w:tcPr>
            <w:tcW w:w="1367" w:type="dxa"/>
            <w:vMerge w:val="continue"/>
            <w:vAlign w:val="center"/>
          </w:tcPr>
          <w:p>
            <w:pPr>
              <w:spacing w:line="240" w:lineRule="auto"/>
              <w:jc w:val="center"/>
              <w:rPr>
                <w:b/>
              </w:rPr>
            </w:pPr>
          </w:p>
        </w:tc>
        <w:tc>
          <w:tcPr>
            <w:tcW w:w="1757" w:type="dxa"/>
            <w:vMerge w:val="continue"/>
            <w:vAlign w:val="center"/>
          </w:tcPr>
          <w:p>
            <w:pPr>
              <w:spacing w:line="240" w:lineRule="auto"/>
              <w:rPr>
                <w:b/>
              </w:rPr>
            </w:pPr>
          </w:p>
        </w:tc>
        <w:tc>
          <w:tcPr>
            <w:tcW w:w="6446" w:type="dxa"/>
            <w:vAlign w:val="center"/>
          </w:tcPr>
          <w:p>
            <w:pPr>
              <w:spacing w:line="240" w:lineRule="auto"/>
              <w:rPr>
                <w:bCs/>
                <w:szCs w:val="21"/>
              </w:rPr>
            </w:pPr>
            <w:r>
              <w:rPr>
                <w:rFonts w:hint="eastAsia"/>
                <w:bCs/>
                <w:szCs w:val="21"/>
              </w:rPr>
              <w:t>2.2当满足以下条件时，采购人才向中标人签发货物验收报告：</w:t>
            </w:r>
          </w:p>
          <w:p>
            <w:pPr>
              <w:tabs>
                <w:tab w:val="left" w:pos="1260"/>
              </w:tabs>
              <w:spacing w:line="240" w:lineRule="auto"/>
              <w:rPr>
                <w:bCs/>
                <w:szCs w:val="21"/>
              </w:rPr>
            </w:pPr>
            <w:r>
              <w:rPr>
                <w:bCs/>
                <w:szCs w:val="21"/>
              </w:rPr>
              <w:t>a</w:t>
            </w:r>
            <w:r>
              <w:rPr>
                <w:rFonts w:hint="eastAsia"/>
                <w:bCs/>
                <w:szCs w:val="21"/>
              </w:rPr>
              <w:t>、中标人已按照合同规定提供了全部产品及完整的技术资料。</w:t>
            </w:r>
          </w:p>
          <w:p>
            <w:pPr>
              <w:tabs>
                <w:tab w:val="left" w:pos="1260"/>
              </w:tabs>
              <w:spacing w:line="240" w:lineRule="auto"/>
              <w:rPr>
                <w:bCs/>
                <w:szCs w:val="21"/>
              </w:rPr>
            </w:pPr>
            <w:r>
              <w:rPr>
                <w:bCs/>
                <w:szCs w:val="21"/>
              </w:rPr>
              <w:t>b</w:t>
            </w:r>
            <w:r>
              <w:rPr>
                <w:rFonts w:hint="eastAsia"/>
                <w:bCs/>
                <w:szCs w:val="21"/>
              </w:rPr>
              <w:t>、货物符合招标文件技术规格书的要求，性能满足要求。</w:t>
            </w:r>
          </w:p>
          <w:p>
            <w:pPr>
              <w:tabs>
                <w:tab w:val="left" w:pos="1260"/>
              </w:tabs>
              <w:spacing w:line="240" w:lineRule="auto"/>
              <w:rPr>
                <w:bCs/>
                <w:szCs w:val="21"/>
              </w:rPr>
            </w:pPr>
            <w:r>
              <w:rPr>
                <w:bCs/>
                <w:szCs w:val="21"/>
              </w:rPr>
              <w:t>c</w:t>
            </w:r>
            <w:r>
              <w:rPr>
                <w:rFonts w:hint="eastAsia"/>
                <w:bCs/>
                <w:szCs w:val="21"/>
              </w:rPr>
              <w:t>、货物具备产品合格证。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367" w:type="dxa"/>
            <w:vAlign w:val="center"/>
          </w:tcPr>
          <w:p>
            <w:pPr>
              <w:spacing w:line="240" w:lineRule="auto"/>
              <w:jc w:val="center"/>
            </w:pPr>
            <w:r>
              <w:rPr>
                <w:rFonts w:hint="eastAsia"/>
                <w:b/>
              </w:rPr>
              <w:t>3</w:t>
            </w:r>
          </w:p>
        </w:tc>
        <w:tc>
          <w:tcPr>
            <w:tcW w:w="1757" w:type="dxa"/>
            <w:vAlign w:val="center"/>
          </w:tcPr>
          <w:p>
            <w:pPr>
              <w:spacing w:line="240" w:lineRule="auto"/>
              <w:jc w:val="center"/>
              <w:rPr>
                <w:b/>
              </w:rPr>
            </w:pPr>
            <w:r>
              <w:rPr>
                <w:rFonts w:hint="eastAsia"/>
                <w:bCs/>
              </w:rPr>
              <w:t>付款方式</w:t>
            </w:r>
          </w:p>
        </w:tc>
        <w:tc>
          <w:tcPr>
            <w:tcW w:w="6446" w:type="dxa"/>
            <w:vAlign w:val="center"/>
          </w:tcPr>
          <w:p>
            <w:pPr>
              <w:spacing w:line="240" w:lineRule="auto"/>
              <w:rPr>
                <w:bCs/>
              </w:rPr>
            </w:pPr>
            <w:r>
              <w:rPr>
                <w:rFonts w:hint="eastAsia"/>
                <w:bCs/>
              </w:rPr>
              <w:t>（1）第一期：合同签订且甲方收到乙方开具发票后的10个工作日内，甲方付给乙方合同金额30%款项；</w:t>
            </w:r>
          </w:p>
          <w:p>
            <w:pPr>
              <w:spacing w:line="240" w:lineRule="auto"/>
              <w:rPr>
                <w:bCs/>
              </w:rPr>
            </w:pPr>
            <w:r>
              <w:rPr>
                <w:rFonts w:hint="eastAsia"/>
                <w:bCs/>
              </w:rPr>
              <w:t>第二期：供货数量达到合同总数量60%且甲方收到乙方开具发票后的后10个工作日内，甲方付给乙方合同金额 30% 款项；</w:t>
            </w:r>
          </w:p>
          <w:p>
            <w:pPr>
              <w:spacing w:line="240" w:lineRule="auto"/>
              <w:rPr>
                <w:bCs/>
              </w:rPr>
            </w:pPr>
            <w:r>
              <w:rPr>
                <w:rFonts w:hint="eastAsia"/>
                <w:bCs/>
              </w:rPr>
              <w:t>第三期：验收合格且甲方收到乙方开具发票后的10个工作日内，甲方付给乙方合同金额 35% 款项；（第二期、第三期付款条件同时满足时可合并付款）；</w:t>
            </w:r>
          </w:p>
          <w:p>
            <w:pPr>
              <w:spacing w:line="240" w:lineRule="auto"/>
              <w:rPr>
                <w:bCs/>
              </w:rPr>
            </w:pPr>
            <w:r>
              <w:rPr>
                <w:rFonts w:hint="eastAsia"/>
                <w:bCs/>
              </w:rPr>
              <w:t>第四期：验收合格满一年后且甲方收到乙方开具发票后的10个工作日内，甲方付给乙方合同金额 5% 尾款（即履约、质量保证金）。</w:t>
            </w:r>
          </w:p>
          <w:p>
            <w:pPr>
              <w:spacing w:line="240" w:lineRule="auto"/>
              <w:rPr>
                <w:b/>
              </w:rPr>
            </w:pPr>
            <w:r>
              <w:rPr>
                <w:rFonts w:hint="eastAsia"/>
                <w:bCs/>
              </w:rPr>
              <w:t>（2）具体付款方式按深圳市坪山区财政局有关规定执行。</w:t>
            </w:r>
          </w:p>
        </w:tc>
      </w:tr>
    </w:tbl>
    <w:p>
      <w:pPr>
        <w:widowControl w:val="0"/>
        <w:shd w:val="clear" w:color="auto" w:fill="auto"/>
        <w:tabs>
          <w:tab w:val="clear" w:pos="426"/>
        </w:tabs>
        <w:adjustRightInd/>
        <w:snapToGrid/>
        <w:spacing w:before="120" w:beforeLines="50" w:line="300" w:lineRule="auto"/>
        <w:ind w:firstLine="422" w:firstLineChars="200"/>
        <w:rPr>
          <w:rFonts w:cs="Times New Roman"/>
          <w:b/>
          <w:kern w:val="2"/>
          <w:szCs w:val="21"/>
          <w:highlight w:val="green"/>
        </w:rPr>
      </w:pPr>
      <w:r>
        <w:rPr>
          <w:rFonts w:hint="eastAsia" w:cs="Times New Roman"/>
          <w:b/>
          <w:kern w:val="2"/>
          <w:szCs w:val="21"/>
        </w:rPr>
        <w:t>备注：商务</w:t>
      </w:r>
      <w:r>
        <w:rPr>
          <w:rFonts w:cs="Times New Roman"/>
          <w:b/>
          <w:kern w:val="2"/>
          <w:szCs w:val="21"/>
        </w:rPr>
        <w:t>要求分为一般</w:t>
      </w:r>
      <w:r>
        <w:rPr>
          <w:rFonts w:hint="eastAsia" w:cs="Times New Roman"/>
          <w:b/>
          <w:kern w:val="2"/>
          <w:szCs w:val="21"/>
        </w:rPr>
        <w:t>商务</w:t>
      </w:r>
      <w:r>
        <w:rPr>
          <w:rFonts w:cs="Times New Roman"/>
          <w:b/>
          <w:kern w:val="2"/>
          <w:szCs w:val="21"/>
        </w:rPr>
        <w:t>要求、重要</w:t>
      </w:r>
      <w:r>
        <w:rPr>
          <w:rFonts w:hint="eastAsia" w:cs="Times New Roman"/>
          <w:b/>
          <w:kern w:val="2"/>
          <w:szCs w:val="21"/>
        </w:rPr>
        <w:t>商务</w:t>
      </w:r>
      <w:r>
        <w:rPr>
          <w:rFonts w:cs="Times New Roman"/>
          <w:b/>
          <w:kern w:val="2"/>
          <w:szCs w:val="21"/>
        </w:rPr>
        <w:t>要求（以“▲”标注）和实质性</w:t>
      </w:r>
      <w:r>
        <w:rPr>
          <w:rFonts w:hint="eastAsia" w:cs="Times New Roman"/>
          <w:b/>
          <w:kern w:val="2"/>
          <w:szCs w:val="21"/>
        </w:rPr>
        <w:t>商务</w:t>
      </w:r>
      <w:r>
        <w:rPr>
          <w:rFonts w:cs="Times New Roman"/>
          <w:b/>
          <w:kern w:val="2"/>
          <w:szCs w:val="21"/>
        </w:rPr>
        <w:t>要求（以”★”标注）。一般商务要求和重要商务要求若出现不响应或负偏离，其综合评分的相关分数将予以扣减，但不作为投标无效条款。实质性商务要求（以”★”标注）若出现不响应或任何一项负偏离，将导致投标无效。</w:t>
      </w:r>
    </w:p>
    <w:p>
      <w:pPr>
        <w:widowControl w:val="0"/>
        <w:shd w:val="clear" w:color="auto" w:fill="auto"/>
        <w:tabs>
          <w:tab w:val="clear" w:pos="426"/>
        </w:tabs>
        <w:adjustRightInd/>
        <w:snapToGrid/>
        <w:spacing w:before="120" w:beforeLines="50" w:line="300" w:lineRule="auto"/>
        <w:ind w:firstLine="420" w:firstLineChars="200"/>
        <w:rPr>
          <w:rFonts w:cs="Times New Roman"/>
          <w:kern w:val="2"/>
          <w:szCs w:val="21"/>
        </w:rPr>
        <w:sectPr>
          <w:pgSz w:w="11906" w:h="16838"/>
          <w:pgMar w:top="1134" w:right="1134" w:bottom="1134" w:left="1418" w:header="851" w:footer="992" w:gutter="0"/>
          <w:cols w:space="425" w:num="1"/>
          <w:titlePg/>
          <w:docGrid w:linePitch="462" w:charSpace="0"/>
        </w:sectPr>
      </w:pPr>
    </w:p>
    <w:p>
      <w:pPr>
        <w:numPr>
          <w:ilvl w:val="0"/>
          <w:numId w:val="32"/>
        </w:numPr>
        <w:adjustRightInd/>
        <w:snapToGrid/>
        <w:spacing w:before="280" w:after="290" w:line="377" w:lineRule="auto"/>
        <w:jc w:val="left"/>
        <w:outlineLvl w:val="2"/>
        <w:rPr>
          <w:b/>
          <w:sz w:val="24"/>
        </w:rPr>
      </w:pPr>
      <w:r>
        <w:rPr>
          <w:rFonts w:hint="eastAsia"/>
          <w:b/>
          <w:sz w:val="24"/>
        </w:rPr>
        <w:t>政策导向</w:t>
      </w:r>
    </w:p>
    <w:p>
      <w:pPr>
        <w:widowControl w:val="0"/>
        <w:shd w:val="clear" w:color="auto" w:fill="auto"/>
        <w:tabs>
          <w:tab w:val="clear" w:pos="426"/>
        </w:tabs>
        <w:adjustRightInd/>
        <w:snapToGrid/>
        <w:spacing w:before="120" w:beforeLines="50" w:line="300" w:lineRule="auto"/>
        <w:ind w:firstLine="420" w:firstLineChars="200"/>
        <w:rPr>
          <w:kern w:val="2"/>
        </w:rPr>
      </w:pPr>
      <w:r>
        <w:rPr>
          <w:kern w:val="2"/>
        </w:rPr>
        <w:t>1.按照《国务院办公厅关于建立政府强制采购节能产品制度的通知》（国办发〔2007〕51号）、《财政部、环保总局关于环境标志产品政府采购实施的意见》（财库[2006]90号）、《关于调整优化节能产品、环境标志产品政府采购执行机制的通知》（财库〔2019〕9号）、《中共深圳市委、深圳市人民政府关于全面推进循环经济发展的决定》（深发〔2006〕9号）等的要求，以下产品列入政府优先采购清单，我市政府采购组织实施中，在技术、服务等指标满足采购需求的前提下，优先采购以下清单范围内产品：</w:t>
      </w:r>
    </w:p>
    <w:p>
      <w:pPr>
        <w:widowControl w:val="0"/>
        <w:shd w:val="clear" w:color="auto" w:fill="auto"/>
        <w:tabs>
          <w:tab w:val="clear" w:pos="426"/>
        </w:tabs>
        <w:adjustRightInd/>
        <w:snapToGrid/>
        <w:spacing w:before="120" w:beforeLines="50" w:line="300" w:lineRule="auto"/>
        <w:ind w:firstLine="420" w:firstLineChars="200"/>
        <w:rPr>
          <w:kern w:val="2"/>
        </w:rPr>
      </w:pPr>
      <w:r>
        <w:rPr>
          <w:rFonts w:hint="eastAsia"/>
          <w:kern w:val="2"/>
        </w:rPr>
        <w:t>属于政府采购节能产品、环境标志产品实施品目清单的产品，详见中国政府采购网（</w:t>
      </w:r>
      <w:r>
        <w:rPr>
          <w:kern w:val="2"/>
        </w:rPr>
        <w:t>http://www.ccgp.gov.cn/）。</w:t>
      </w:r>
    </w:p>
    <w:p>
      <w:pPr>
        <w:widowControl w:val="0"/>
        <w:shd w:val="clear" w:color="auto" w:fill="auto"/>
        <w:tabs>
          <w:tab w:val="clear" w:pos="426"/>
        </w:tabs>
        <w:adjustRightInd/>
        <w:snapToGrid/>
        <w:spacing w:before="120" w:beforeLines="50" w:line="300" w:lineRule="auto"/>
        <w:ind w:firstLine="420" w:firstLineChars="200"/>
        <w:rPr>
          <w:kern w:val="2"/>
        </w:rPr>
      </w:pPr>
      <w:r>
        <w:rPr>
          <w:rFonts w:hint="eastAsia"/>
          <w:kern w:val="2"/>
        </w:rPr>
        <w:t>进入以上清单范围的投标产品将在评标时获得竞争优势。</w:t>
      </w:r>
    </w:p>
    <w:p>
      <w:pPr>
        <w:widowControl w:val="0"/>
        <w:shd w:val="clear" w:color="auto" w:fill="auto"/>
        <w:tabs>
          <w:tab w:val="clear" w:pos="426"/>
        </w:tabs>
        <w:adjustRightInd/>
        <w:snapToGrid/>
        <w:spacing w:before="120" w:beforeLines="50" w:line="300" w:lineRule="auto"/>
        <w:ind w:firstLine="420" w:firstLineChars="200"/>
        <w:rPr>
          <w:kern w:val="2"/>
        </w:rPr>
      </w:pPr>
      <w:r>
        <w:rPr>
          <w:kern w:val="2"/>
        </w:rPr>
        <w:t>2.2014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pPr>
        <w:widowControl w:val="0"/>
        <w:shd w:val="clear" w:color="auto" w:fill="auto"/>
        <w:tabs>
          <w:tab w:val="clear" w:pos="426"/>
        </w:tabs>
        <w:adjustRightInd/>
        <w:snapToGrid/>
        <w:spacing w:before="120" w:beforeLines="50" w:line="300" w:lineRule="auto"/>
        <w:ind w:firstLine="420" w:firstLineChars="200"/>
        <w:rPr>
          <w:kern w:val="2"/>
        </w:rPr>
      </w:pPr>
      <w:r>
        <w:rPr>
          <w:kern w:val="2"/>
        </w:rPr>
        <w:t>3.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pPr>
        <w:widowControl w:val="0"/>
        <w:shd w:val="clear" w:color="auto" w:fill="auto"/>
        <w:tabs>
          <w:tab w:val="clear" w:pos="426"/>
        </w:tabs>
        <w:adjustRightInd/>
        <w:snapToGrid/>
        <w:spacing w:before="120" w:beforeLines="50" w:line="300" w:lineRule="auto"/>
        <w:ind w:firstLine="420" w:firstLineChars="200"/>
        <w:rPr>
          <w:kern w:val="2"/>
        </w:rPr>
      </w:pPr>
    </w:p>
    <w:p>
      <w:pPr>
        <w:widowControl w:val="0"/>
        <w:shd w:val="clear" w:color="auto" w:fill="auto"/>
        <w:tabs>
          <w:tab w:val="clear" w:pos="426"/>
        </w:tabs>
        <w:adjustRightInd/>
        <w:snapToGrid/>
        <w:spacing w:before="120" w:beforeLines="50" w:line="300" w:lineRule="auto"/>
        <w:ind w:firstLine="420" w:firstLineChars="200"/>
        <w:rPr>
          <w:kern w:val="2"/>
        </w:rPr>
      </w:pPr>
    </w:p>
    <w:p>
      <w:pPr>
        <w:pStyle w:val="33"/>
        <w:tabs>
          <w:tab w:val="clear" w:pos="426"/>
        </w:tabs>
      </w:pPr>
      <w:r>
        <w:br w:type="page"/>
      </w:r>
      <w:bookmarkStart w:id="34" w:name="_Toc3628661"/>
      <w:r>
        <w:rPr>
          <w:rFonts w:hint="eastAsia"/>
        </w:rPr>
        <w:t>第四章</w:t>
      </w:r>
      <w:bookmarkEnd w:id="32"/>
      <w:bookmarkEnd w:id="33"/>
      <w:r>
        <w:rPr>
          <w:rFonts w:hint="eastAsia"/>
        </w:rPr>
        <w:t xml:space="preserve"> 政府采购合同的签订、履约及验收</w:t>
      </w:r>
      <w:bookmarkEnd w:id="34"/>
    </w:p>
    <w:p>
      <w:pPr>
        <w:tabs>
          <w:tab w:val="clear" w:pos="426"/>
        </w:tabs>
        <w:jc w:val="center"/>
        <w:rPr>
          <w:b/>
          <w:sz w:val="24"/>
        </w:rPr>
      </w:pPr>
      <w:bookmarkStart w:id="35" w:name="_Toc398220526"/>
      <w:bookmarkStart w:id="36" w:name="_Toc432592818"/>
      <w:r>
        <w:rPr>
          <w:rFonts w:hint="eastAsia"/>
          <w:b/>
          <w:sz w:val="24"/>
        </w:rPr>
        <w:t>一、重要提示</w:t>
      </w:r>
    </w:p>
    <w:p>
      <w:pPr>
        <w:widowControl w:val="0"/>
        <w:shd w:val="clear" w:color="auto" w:fill="auto"/>
        <w:tabs>
          <w:tab w:val="clear" w:pos="426"/>
        </w:tabs>
        <w:adjustRightInd/>
        <w:snapToGrid/>
        <w:spacing w:line="240" w:lineRule="auto"/>
        <w:ind w:firstLine="420" w:firstLineChars="200"/>
        <w:rPr>
          <w:rFonts w:cs="Times New Roman"/>
          <w:kern w:val="2"/>
          <w:szCs w:val="21"/>
        </w:rPr>
      </w:pP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hint="eastAsia" w:cs="Times New Roman"/>
          <w:kern w:val="2"/>
          <w:szCs w:val="21"/>
        </w:rPr>
        <w:t>（一）</w:t>
      </w:r>
      <w:r>
        <w:rPr>
          <w:rFonts w:cs="Times New Roman"/>
          <w:kern w:val="2"/>
          <w:szCs w:val="21"/>
        </w:rPr>
        <w:t xml:space="preserve"> 中标人将于中标通知书发出之日起十个工作日内，按照招标文件和投标文件内容与采购单位签订书面合同，合同书应采用本招标文件规定的合同样本；</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hint="eastAsia" w:cs="Times New Roman"/>
          <w:kern w:val="2"/>
          <w:szCs w:val="21"/>
        </w:rPr>
        <w:t>（二）</w:t>
      </w:r>
      <w:r>
        <w:rPr>
          <w:rFonts w:cs="Times New Roman"/>
          <w:kern w:val="2"/>
          <w:szCs w:val="21"/>
        </w:rPr>
        <w:t xml:space="preserve"> 中标人应当按照合同约定履行义务，完成中标项目，不得将中标项目转让（转包）给他人；</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hint="eastAsia" w:cs="Times New Roman"/>
          <w:kern w:val="2"/>
          <w:szCs w:val="21"/>
        </w:rPr>
        <w:t>（三）</w:t>
      </w:r>
      <w:r>
        <w:rPr>
          <w:rFonts w:cs="Times New Roman"/>
          <w:kern w:val="2"/>
          <w:szCs w:val="21"/>
        </w:rPr>
        <w:t xml:space="preserve"> 采购人与中标人签订的合同必须遵守本招标文件的合同条件，并且不得更改合同条件。</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hint="eastAsia" w:cs="Times New Roman"/>
          <w:kern w:val="2"/>
          <w:szCs w:val="21"/>
        </w:rPr>
        <w:t>（四）</w:t>
      </w:r>
      <w:r>
        <w:rPr>
          <w:rFonts w:cs="Times New Roman"/>
          <w:kern w:val="2"/>
          <w:szCs w:val="21"/>
        </w:rPr>
        <w:t xml:space="preserve"> 采购人与中标人应于合同签订之日起10日内，由采购人或委托中标人将采购合同副本抄送政府集中采购机构备案。</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hint="eastAsia" w:cs="Times New Roman"/>
          <w:kern w:val="2"/>
          <w:szCs w:val="21"/>
        </w:rPr>
        <w:t>（五）</w:t>
      </w:r>
      <w:r>
        <w:rPr>
          <w:rFonts w:cs="Times New Roman"/>
          <w:kern w:val="2"/>
          <w:szCs w:val="21"/>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1.在采购活动中应当回避而未回避的；</w:t>
      </w:r>
    </w:p>
    <w:p>
      <w:pPr>
        <w:widowControl w:val="0"/>
        <w:shd w:val="clear" w:color="auto" w:fill="auto"/>
        <w:tabs>
          <w:tab w:val="clear" w:pos="426"/>
        </w:tabs>
        <w:adjustRightInd/>
        <w:snapToGrid/>
        <w:spacing w:line="240" w:lineRule="auto"/>
        <w:ind w:firstLine="422" w:firstLineChars="200"/>
        <w:rPr>
          <w:rFonts w:cs="Times New Roman"/>
          <w:b/>
          <w:kern w:val="2"/>
          <w:szCs w:val="21"/>
        </w:rPr>
      </w:pPr>
      <w:r>
        <w:rPr>
          <w:rFonts w:cs="Times New Roman"/>
          <w:b/>
          <w:kern w:val="2"/>
          <w:szCs w:val="21"/>
        </w:rPr>
        <w:t>2.未按本条例规定签订、履行采购合同，造成严重后果的；</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3.隐瞒真实情况，提供虚假资料的；</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4.以非法手段排斥其他供应商参与竞争的；</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5.与其他采购参加人串通投标的；</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6.恶意投诉的；</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7.向采购项目相关人行贿或者提供其他不当利益的；</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8.阻碍、抗拒主管部门监督检查的；</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cs="Times New Roman"/>
          <w:kern w:val="2"/>
          <w:szCs w:val="21"/>
        </w:rPr>
        <w:t>9.其他违反本条例规定的行为。</w:t>
      </w:r>
    </w:p>
    <w:p>
      <w:pPr>
        <w:widowControl w:val="0"/>
        <w:shd w:val="clear" w:color="auto" w:fill="auto"/>
        <w:tabs>
          <w:tab w:val="clear" w:pos="426"/>
        </w:tabs>
        <w:adjustRightInd/>
        <w:snapToGrid/>
        <w:spacing w:line="240" w:lineRule="auto"/>
        <w:ind w:firstLine="420" w:firstLineChars="200"/>
        <w:rPr>
          <w:rFonts w:cs="Times New Roman"/>
          <w:kern w:val="2"/>
          <w:szCs w:val="21"/>
        </w:rPr>
      </w:pPr>
      <w:r>
        <w:rPr>
          <w:rFonts w:hint="eastAsia" w:cs="Times New Roman"/>
          <w:kern w:val="2"/>
          <w:szCs w:val="21"/>
        </w:rPr>
        <w:t>（六）</w:t>
      </w:r>
      <w:r>
        <w:rPr>
          <w:rFonts w:cs="Times New Roman"/>
          <w:kern w:val="2"/>
          <w:szCs w:val="21"/>
        </w:rPr>
        <w:t xml:space="preserve"> 供应商必须诚信投标，对项目需求进行实质性响应。采购单位（或深圳市政府采购中心）将组织聘请第三方专业机构（必要时，邀请参加本项目投标的供应商）实施项目履约验收，如未按合同履约，将按上述第（五）条规定进行处理。</w:t>
      </w:r>
    </w:p>
    <w:p>
      <w:pPr>
        <w:widowControl w:val="0"/>
        <w:shd w:val="clear" w:color="auto" w:fill="auto"/>
        <w:tabs>
          <w:tab w:val="clear" w:pos="426"/>
        </w:tabs>
        <w:adjustRightInd/>
        <w:snapToGrid/>
        <w:spacing w:line="240" w:lineRule="auto"/>
        <w:ind w:firstLine="420" w:firstLineChars="200"/>
        <w:rPr>
          <w:rFonts w:cs="Times New Roman"/>
          <w:kern w:val="2"/>
          <w:szCs w:val="21"/>
        </w:rPr>
      </w:pPr>
    </w:p>
    <w:p>
      <w:pPr>
        <w:widowControl w:val="0"/>
        <w:shd w:val="clear" w:color="auto" w:fill="auto"/>
        <w:tabs>
          <w:tab w:val="clear" w:pos="426"/>
        </w:tabs>
        <w:adjustRightInd/>
        <w:snapToGrid/>
        <w:spacing w:line="240" w:lineRule="auto"/>
        <w:ind w:firstLine="420" w:firstLineChars="200"/>
        <w:rPr>
          <w:rFonts w:cs="Times New Roman"/>
          <w:kern w:val="2"/>
          <w:szCs w:val="21"/>
        </w:rPr>
      </w:pPr>
    </w:p>
    <w:p>
      <w:pPr>
        <w:widowControl w:val="0"/>
        <w:shd w:val="clear" w:color="auto" w:fill="auto"/>
        <w:tabs>
          <w:tab w:val="clear" w:pos="426"/>
        </w:tabs>
        <w:adjustRightInd/>
        <w:snapToGrid/>
        <w:spacing w:line="240" w:lineRule="auto"/>
        <w:ind w:firstLine="420" w:firstLineChars="200"/>
        <w:rPr>
          <w:rFonts w:cs="Times New Roman"/>
          <w:kern w:val="2"/>
          <w:szCs w:val="21"/>
        </w:rPr>
      </w:pPr>
    </w:p>
    <w:p>
      <w:pPr>
        <w:shd w:val="clear" w:color="auto" w:fill="auto"/>
        <w:tabs>
          <w:tab w:val="clear" w:pos="426"/>
        </w:tabs>
        <w:adjustRightInd/>
        <w:snapToGrid/>
        <w:spacing w:line="240" w:lineRule="auto"/>
        <w:jc w:val="left"/>
        <w:rPr>
          <w:b/>
          <w:sz w:val="24"/>
        </w:rPr>
      </w:pPr>
      <w:r>
        <w:rPr>
          <w:b/>
          <w:sz w:val="24"/>
        </w:rPr>
        <w:br w:type="page"/>
      </w:r>
    </w:p>
    <w:p>
      <w:pPr>
        <w:tabs>
          <w:tab w:val="clear" w:pos="426"/>
        </w:tabs>
        <w:jc w:val="center"/>
        <w:rPr>
          <w:b/>
          <w:sz w:val="24"/>
        </w:rPr>
      </w:pPr>
    </w:p>
    <w:p>
      <w:pPr>
        <w:tabs>
          <w:tab w:val="clear" w:pos="426"/>
        </w:tabs>
        <w:jc w:val="center"/>
        <w:rPr>
          <w:b/>
          <w:sz w:val="24"/>
        </w:rPr>
      </w:pPr>
      <w:r>
        <w:rPr>
          <w:rFonts w:hint="eastAsia"/>
          <w:b/>
          <w:sz w:val="24"/>
        </w:rPr>
        <w:t>二、合同条款及格式</w:t>
      </w:r>
    </w:p>
    <w:p>
      <w:pPr>
        <w:tabs>
          <w:tab w:val="clear" w:pos="426"/>
        </w:tabs>
        <w:jc w:val="center"/>
        <w:rPr>
          <w:b/>
          <w:sz w:val="24"/>
        </w:rPr>
      </w:pPr>
      <w:r>
        <w:rPr>
          <w:rFonts w:hint="eastAsia"/>
          <w:b/>
          <w:sz w:val="24"/>
        </w:rPr>
        <w:t>有专业类别的格式合同范本请选择相应的合同</w:t>
      </w:r>
    </w:p>
    <w:p>
      <w:pPr>
        <w:tabs>
          <w:tab w:val="clear" w:pos="426"/>
        </w:tabs>
        <w:jc w:val="center"/>
        <w:rPr>
          <w:b/>
          <w:sz w:val="24"/>
        </w:rPr>
      </w:pPr>
      <w:r>
        <w:rPr>
          <w:rFonts w:hint="eastAsia"/>
          <w:b/>
          <w:sz w:val="24"/>
        </w:rPr>
        <w:t>（仅供参考）</w:t>
      </w:r>
    </w:p>
    <w:p>
      <w:pPr>
        <w:tabs>
          <w:tab w:val="clear" w:pos="426"/>
        </w:tabs>
      </w:pPr>
      <w:r>
        <w:rPr>
          <w:rFonts w:hint="eastAsia"/>
        </w:rPr>
        <w:t>甲方：</w:t>
      </w:r>
      <w:r>
        <w:rPr>
          <w:rFonts w:hint="eastAsia"/>
          <w:u w:val="single"/>
        </w:rPr>
        <w:t xml:space="preserve">           </w:t>
      </w:r>
    </w:p>
    <w:p>
      <w:pPr>
        <w:tabs>
          <w:tab w:val="clear" w:pos="426"/>
        </w:tabs>
      </w:pPr>
      <w:r>
        <w:rPr>
          <w:rFonts w:hint="eastAsia"/>
        </w:rPr>
        <w:t>乙方：</w:t>
      </w:r>
      <w:r>
        <w:rPr>
          <w:rFonts w:hint="eastAsia"/>
          <w:u w:val="single"/>
        </w:rPr>
        <w:t xml:space="preserve">           </w:t>
      </w:r>
    </w:p>
    <w:p>
      <w:pPr>
        <w:tabs>
          <w:tab w:val="clear" w:pos="426"/>
        </w:tabs>
        <w:rPr>
          <w:sz w:val="24"/>
        </w:rPr>
      </w:pPr>
    </w:p>
    <w:p>
      <w:pPr>
        <w:tabs>
          <w:tab w:val="clear" w:pos="426"/>
        </w:tabs>
        <w:ind w:firstLine="560"/>
      </w:pPr>
      <w:r>
        <w:rPr>
          <w:rFonts w:hint="eastAsia"/>
        </w:rPr>
        <w:t>根据</w:t>
      </w:r>
      <w:r>
        <w:rPr>
          <w:rFonts w:hint="eastAsia"/>
          <w:u w:val="single"/>
        </w:rPr>
        <w:t xml:space="preserve">        </w:t>
      </w:r>
      <w:r>
        <w:rPr>
          <w:rFonts w:hint="eastAsia"/>
        </w:rPr>
        <w:t>号招标项目的投标结果，由</w:t>
      </w:r>
      <w:r>
        <w:rPr>
          <w:rFonts w:hint="eastAsia"/>
          <w:u w:val="single"/>
        </w:rPr>
        <w:t xml:space="preserve">       </w:t>
      </w:r>
      <w:r>
        <w:rPr>
          <w:rFonts w:hint="eastAsia"/>
        </w:rPr>
        <w:t>单位为中标方。按照《中华人民共和国合同法》和《深圳经济特区政府采购条例》，经深圳市</w:t>
      </w:r>
      <w:r>
        <w:rPr>
          <w:rFonts w:hint="eastAsia"/>
          <w:u w:val="single"/>
        </w:rPr>
        <w:t xml:space="preserve">           </w:t>
      </w:r>
      <w:r>
        <w:rPr>
          <w:rFonts w:hint="eastAsia"/>
        </w:rPr>
        <w:t>（以下简称甲方）和</w:t>
      </w:r>
      <w:r>
        <w:rPr>
          <w:rFonts w:hint="eastAsia"/>
          <w:u w:val="single"/>
        </w:rPr>
        <w:t xml:space="preserve">           </w:t>
      </w:r>
      <w:r>
        <w:rPr>
          <w:rFonts w:hint="eastAsia"/>
        </w:rPr>
        <w:t>单位（以下简称乙方）协商，达成以下合同条款：</w:t>
      </w:r>
    </w:p>
    <w:p>
      <w:pPr>
        <w:tabs>
          <w:tab w:val="clear" w:pos="426"/>
        </w:tabs>
        <w:ind w:firstLine="560"/>
        <w:rPr>
          <w:b/>
        </w:rPr>
      </w:pPr>
      <w:r>
        <w:rPr>
          <w:rFonts w:hint="eastAsia"/>
          <w:b/>
        </w:rPr>
        <w:t>第一条  合同标的</w:t>
      </w:r>
    </w:p>
    <w:p>
      <w:pPr>
        <w:tabs>
          <w:tab w:val="clear" w:pos="426"/>
        </w:tabs>
        <w:ind w:firstLine="560"/>
      </w:pPr>
      <w:r>
        <w:rPr>
          <w:rFonts w:hint="eastAsia"/>
        </w:rPr>
        <w:t>乙方根据甲方需求提供下列货物：</w:t>
      </w:r>
    </w:p>
    <w:p>
      <w:pPr>
        <w:tabs>
          <w:tab w:val="clear" w:pos="426"/>
        </w:tabs>
        <w:ind w:firstLine="560"/>
      </w:pPr>
      <w:r>
        <w:rPr>
          <w:rFonts w:hint="eastAsia"/>
        </w:rPr>
        <w:t>货物名称、规格及数量详见</w:t>
      </w:r>
      <w:r>
        <w:rPr>
          <w:rFonts w:hint="eastAsia"/>
          <w:b/>
          <w:u w:val="single"/>
        </w:rPr>
        <w:t xml:space="preserve">                  </w:t>
      </w:r>
      <w:r>
        <w:rPr>
          <w:rFonts w:hint="eastAsia"/>
        </w:rPr>
        <w:t>。</w:t>
      </w:r>
    </w:p>
    <w:p>
      <w:pPr>
        <w:tabs>
          <w:tab w:val="clear" w:pos="426"/>
        </w:tabs>
        <w:ind w:firstLine="560"/>
        <w:rPr>
          <w:b/>
        </w:rPr>
      </w:pPr>
      <w:r>
        <w:rPr>
          <w:rFonts w:hint="eastAsia"/>
          <w:b/>
        </w:rPr>
        <w:t>第二条  合同价款</w:t>
      </w:r>
    </w:p>
    <w:p>
      <w:pPr>
        <w:tabs>
          <w:tab w:val="clear" w:pos="426"/>
        </w:tabs>
        <w:ind w:firstLine="560"/>
      </w:pPr>
      <w:r>
        <w:rPr>
          <w:rFonts w:hint="eastAsia"/>
        </w:rPr>
        <w:t>本合同项下总价款为</w:t>
      </w:r>
      <w:r>
        <w:rPr>
          <w:rFonts w:hint="eastAsia"/>
          <w:u w:val="single"/>
        </w:rPr>
        <w:t xml:space="preserve">              </w:t>
      </w:r>
      <w:r>
        <w:rPr>
          <w:rFonts w:hint="eastAsia"/>
        </w:rPr>
        <w:t>（大写）人民币，分项价款详见</w:t>
      </w:r>
      <w:r>
        <w:rPr>
          <w:rFonts w:hint="eastAsia"/>
          <w:b/>
          <w:u w:val="single"/>
        </w:rPr>
        <w:t xml:space="preserve">          </w:t>
      </w:r>
      <w:r>
        <w:rPr>
          <w:rFonts w:hint="eastAsia"/>
        </w:rPr>
        <w:t>。本合同总价款已包括乙方为履行本合同义务所发生的一切费用，系固定不变价格，且不随通货膨胀的影响而波动。</w:t>
      </w:r>
    </w:p>
    <w:p>
      <w:pPr>
        <w:tabs>
          <w:tab w:val="clear" w:pos="426"/>
        </w:tabs>
        <w:ind w:firstLine="560"/>
        <w:rPr>
          <w:b/>
        </w:rPr>
      </w:pPr>
      <w:r>
        <w:rPr>
          <w:rFonts w:hint="eastAsia"/>
          <w:b/>
        </w:rPr>
        <w:t>第三条  权利保证</w:t>
      </w:r>
    </w:p>
    <w:p>
      <w:pPr>
        <w:tabs>
          <w:tab w:val="clear" w:pos="426"/>
        </w:tabs>
        <w:ind w:firstLine="560"/>
      </w:pPr>
      <w:r>
        <w:rPr>
          <w:rFonts w:hint="eastAsia"/>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pPr>
        <w:tabs>
          <w:tab w:val="clear" w:pos="426"/>
        </w:tabs>
        <w:ind w:firstLine="560"/>
        <w:rPr>
          <w:b/>
        </w:rPr>
      </w:pPr>
      <w:r>
        <w:rPr>
          <w:rFonts w:hint="eastAsia"/>
          <w:b/>
        </w:rPr>
        <w:t>第四条  质量保证</w:t>
      </w:r>
    </w:p>
    <w:p>
      <w:pPr>
        <w:tabs>
          <w:tab w:val="clear" w:pos="426"/>
        </w:tabs>
        <w:ind w:firstLine="560"/>
      </w:pPr>
      <w:r>
        <w:rPr>
          <w:rFonts w:hint="eastAsia"/>
        </w:rPr>
        <w:t>1.乙方所提供的货物的技术规格符合招标文件规定的技术规格，货物符合中华人民共和国的设计和制造生产标准或行业标准。</w:t>
      </w:r>
    </w:p>
    <w:p>
      <w:pPr>
        <w:tabs>
          <w:tab w:val="clear" w:pos="426"/>
        </w:tabs>
        <w:ind w:firstLine="560"/>
      </w:pPr>
      <w:r>
        <w:rPr>
          <w:rFonts w:hint="eastAsia"/>
        </w:rPr>
        <w:t>2.乙方保证货物是全新、未使用过的原装合格正品（包括零部件），并完全符合甲方要求的质量、规格和性能的要求。如货物安装或配置了软件的，乙方保证相关软件均为正版软件。</w:t>
      </w:r>
    </w:p>
    <w:p>
      <w:pPr>
        <w:tabs>
          <w:tab w:val="clear" w:pos="426"/>
        </w:tabs>
        <w:ind w:firstLine="560"/>
      </w:pPr>
      <w:r>
        <w:rPr>
          <w:rFonts w:hint="eastAsia"/>
        </w:rPr>
        <w:t>3.乙方保证交货时一并提供货物的质量合格凭证或文件。</w:t>
      </w:r>
    </w:p>
    <w:p>
      <w:pPr>
        <w:tabs>
          <w:tab w:val="clear" w:pos="426"/>
        </w:tabs>
        <w:ind w:firstLine="560"/>
        <w:rPr>
          <w:b/>
        </w:rPr>
      </w:pPr>
      <w:r>
        <w:rPr>
          <w:rFonts w:hint="eastAsia"/>
          <w:b/>
        </w:rPr>
        <w:t>第五条  交货和验收</w:t>
      </w:r>
    </w:p>
    <w:p>
      <w:pPr>
        <w:tabs>
          <w:tab w:val="clear" w:pos="426"/>
        </w:tabs>
        <w:ind w:firstLine="560"/>
      </w:pPr>
      <w:r>
        <w:rPr>
          <w:rFonts w:hint="eastAsia"/>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pPr>
        <w:tabs>
          <w:tab w:val="clear" w:pos="426"/>
        </w:tabs>
        <w:ind w:firstLine="560"/>
      </w:pPr>
      <w:r>
        <w:rPr>
          <w:rFonts w:hint="eastAsia"/>
        </w:rPr>
        <w:t>2.乙方交付的货物应当完全符合招投标文件所规定的货物、数量、质量和规格要求。乙方提供的货物不符合招投标文件和合同规定的，甲方有权拒收货物，由此引起的风险，由乙方承担。</w:t>
      </w:r>
    </w:p>
    <w:p>
      <w:pPr>
        <w:tabs>
          <w:tab w:val="clear" w:pos="426"/>
        </w:tabs>
        <w:ind w:firstLine="560"/>
      </w:pPr>
      <w:r>
        <w:rPr>
          <w:rFonts w:hint="eastAsia"/>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pPr>
        <w:tabs>
          <w:tab w:val="clear" w:pos="426"/>
        </w:tabs>
        <w:ind w:firstLine="560"/>
      </w:pPr>
      <w:r>
        <w:rPr>
          <w:rFonts w:hint="eastAsia"/>
        </w:rPr>
        <w:t>4.甲方应当在到货后的</w:t>
      </w:r>
      <w:r>
        <w:rPr>
          <w:rFonts w:hint="eastAsia"/>
          <w:u w:val="single"/>
        </w:rPr>
        <w:t xml:space="preserve">       </w:t>
      </w:r>
      <w:r>
        <w:rPr>
          <w:rFonts w:hint="eastAsia"/>
        </w:rPr>
        <w:t>个工作日内对货物进行验收；需要乙方对货物或系统进行安装调试的，甲方应在货物安装调试完毕后的</w:t>
      </w:r>
      <w:r>
        <w:rPr>
          <w:rFonts w:hint="eastAsia"/>
          <w:u w:val="single"/>
        </w:rPr>
        <w:t xml:space="preserve">       </w:t>
      </w:r>
      <w:r>
        <w:rPr>
          <w:rFonts w:hint="eastAsia"/>
        </w:rPr>
        <w:t>个工作日内进行质量验收。</w:t>
      </w:r>
    </w:p>
    <w:p>
      <w:pPr>
        <w:tabs>
          <w:tab w:val="clear" w:pos="426"/>
        </w:tabs>
        <w:ind w:firstLine="560"/>
        <w:rPr>
          <w:b/>
        </w:rPr>
      </w:pPr>
      <w:r>
        <w:rPr>
          <w:rFonts w:hint="eastAsia"/>
          <w:b/>
        </w:rPr>
        <w:t>第六条  保修及其他服务</w:t>
      </w:r>
    </w:p>
    <w:p>
      <w:pPr>
        <w:tabs>
          <w:tab w:val="clear" w:pos="426"/>
        </w:tabs>
        <w:ind w:firstLine="560"/>
      </w:pPr>
      <w:r>
        <w:rPr>
          <w:rFonts w:hint="eastAsia"/>
        </w:rPr>
        <w:t>1.乙方应按照国家有关法律法规规章和“三包”规定和招标文件的要求及乙方在投标文件的相关承诺提供保修及其他服务。</w:t>
      </w:r>
    </w:p>
    <w:p>
      <w:pPr>
        <w:tabs>
          <w:tab w:val="clear" w:pos="426"/>
        </w:tabs>
        <w:ind w:firstLine="560"/>
      </w:pPr>
      <w:r>
        <w:rPr>
          <w:rFonts w:hint="eastAsia"/>
        </w:rPr>
        <w:t>2.</w:t>
      </w:r>
      <w:r>
        <w:t>保修期内，乙方负责对其提供的货物进行维修和系统维护，不再收取任何费用。</w:t>
      </w:r>
      <w:r>
        <w:rPr>
          <w:rFonts w:hint="eastAsia"/>
        </w:rPr>
        <w:t>所有货物保修服务方式均为乙方上门保修，即由乙方派员到货物使用现场维修，由此产生的一切费用均由乙方承担。保修期后的货物维护另行协商。</w:t>
      </w:r>
    </w:p>
    <w:p>
      <w:pPr>
        <w:tabs>
          <w:tab w:val="clear" w:pos="426"/>
        </w:tabs>
        <w:ind w:firstLine="560"/>
        <w:rPr>
          <w:b/>
        </w:rPr>
      </w:pPr>
      <w:r>
        <w:rPr>
          <w:rFonts w:hint="eastAsia"/>
          <w:b/>
        </w:rPr>
        <w:t>第七条  履约保证金</w:t>
      </w:r>
    </w:p>
    <w:p>
      <w:pPr>
        <w:tabs>
          <w:tab w:val="clear" w:pos="426"/>
        </w:tabs>
        <w:ind w:firstLine="560"/>
      </w:pPr>
      <w:r>
        <w:rPr>
          <w:rFonts w:hint="eastAsia"/>
        </w:rPr>
        <w:t>1.乙方应在签订本合同之日，向甲方或甲方指定的机构提交履约保证金_________元。</w:t>
      </w:r>
    </w:p>
    <w:p>
      <w:pPr>
        <w:tabs>
          <w:tab w:val="clear" w:pos="426"/>
        </w:tabs>
        <w:ind w:firstLine="560"/>
      </w:pPr>
      <w:r>
        <w:rPr>
          <w:rFonts w:hint="eastAsia"/>
        </w:rPr>
        <w:t>2.如乙方未能履行合同规定的义务，甲方有权从履约保证金中取得补偿。</w:t>
      </w:r>
    </w:p>
    <w:p>
      <w:pPr>
        <w:tabs>
          <w:tab w:val="clear" w:pos="426"/>
        </w:tabs>
        <w:ind w:firstLine="560"/>
      </w:pPr>
      <w:r>
        <w:rPr>
          <w:rFonts w:hint="eastAsia"/>
        </w:rPr>
        <w:t>3.甲方在乙方履行完毕本合同项下全部义务后______天内无息退还乙方。</w:t>
      </w:r>
    </w:p>
    <w:p>
      <w:pPr>
        <w:tabs>
          <w:tab w:val="clear" w:pos="426"/>
        </w:tabs>
        <w:ind w:firstLine="560"/>
        <w:rPr>
          <w:b/>
        </w:rPr>
      </w:pPr>
      <w:r>
        <w:rPr>
          <w:rFonts w:hint="eastAsia"/>
          <w:b/>
        </w:rPr>
        <w:t>第八条   货款支付</w:t>
      </w:r>
    </w:p>
    <w:p>
      <w:pPr>
        <w:tabs>
          <w:tab w:val="clear" w:pos="426"/>
        </w:tabs>
        <w:ind w:firstLine="560"/>
        <w:rPr>
          <w:b/>
        </w:rPr>
      </w:pPr>
      <w:r>
        <w:rPr>
          <w:rFonts w:hint="eastAsia"/>
          <w:b/>
        </w:rPr>
        <w:t>第九条    违约责任</w:t>
      </w:r>
    </w:p>
    <w:p>
      <w:pPr>
        <w:tabs>
          <w:tab w:val="clear" w:pos="426"/>
        </w:tabs>
        <w:ind w:firstLine="560"/>
      </w:pPr>
      <w:r>
        <w:rPr>
          <w:rFonts w:hint="eastAsia"/>
        </w:rPr>
        <w:t>1.甲方无正当理由拒收货物、拒付货物款的，由甲方向乙方偿付合同总价的</w:t>
      </w:r>
      <w:r>
        <w:rPr>
          <w:rFonts w:hint="eastAsia"/>
          <w:u w:val="single"/>
        </w:rPr>
        <w:t xml:space="preserve">     </w:t>
      </w:r>
      <w:r>
        <w:rPr>
          <w:rFonts w:hint="eastAsia"/>
        </w:rPr>
        <w:t>%违约金。</w:t>
      </w:r>
    </w:p>
    <w:p>
      <w:pPr>
        <w:tabs>
          <w:tab w:val="clear" w:pos="426"/>
        </w:tabs>
        <w:ind w:firstLine="560"/>
      </w:pPr>
      <w:r>
        <w:rPr>
          <w:rFonts w:hint="eastAsia"/>
        </w:rPr>
        <w:t>2.甲方未按合同规定的期限向乙方支付货款的，每逾期1天甲方向乙方偿付欠款总额的     ‰滞纳金，但累计滞纳金总额不超过欠款总额的</w:t>
      </w:r>
      <w:r>
        <w:rPr>
          <w:rFonts w:hint="eastAsia"/>
          <w:u w:val="single"/>
        </w:rPr>
        <w:t xml:space="preserve">     </w:t>
      </w:r>
      <w:r>
        <w:rPr>
          <w:rFonts w:hint="eastAsia"/>
        </w:rPr>
        <w:t>% 。</w:t>
      </w:r>
    </w:p>
    <w:p>
      <w:pPr>
        <w:tabs>
          <w:tab w:val="clear" w:pos="426"/>
        </w:tabs>
        <w:ind w:firstLine="560"/>
      </w:pPr>
      <w:r>
        <w:rPr>
          <w:rFonts w:hint="eastAsia"/>
        </w:rPr>
        <w:t>3.</w:t>
      </w:r>
      <w:r>
        <w:t>乙方逾期交付货物的，每逾期1天，乙方向甲方偿付逾期交货部分货款总额的</w:t>
      </w:r>
      <w:r>
        <w:rPr>
          <w:rFonts w:hint="eastAsia"/>
          <w:u w:val="single"/>
        </w:rPr>
        <w:t xml:space="preserve">     </w:t>
      </w:r>
      <w:r>
        <w:t>‰的滞纳金</w:t>
      </w:r>
      <w:r>
        <w:rPr>
          <w:rFonts w:hint="eastAsia"/>
        </w:rPr>
        <w:t>。如乙方逾期交货达</w:t>
      </w:r>
      <w:r>
        <w:rPr>
          <w:rFonts w:hint="eastAsia"/>
          <w:u w:val="single"/>
        </w:rPr>
        <w:t xml:space="preserve">    </w:t>
      </w:r>
      <w:r>
        <w:rPr>
          <w:rFonts w:hint="eastAsia"/>
        </w:rPr>
        <w:t>天，甲方有权解除合同，履约保证金不予退回，同时乙方应向甲方支付合同总价</w:t>
      </w:r>
      <w:r>
        <w:rPr>
          <w:rFonts w:hint="eastAsia"/>
          <w:u w:val="single"/>
        </w:rPr>
        <w:t xml:space="preserve">     </w:t>
      </w:r>
      <w:r>
        <w:rPr>
          <w:rFonts w:hint="eastAsia"/>
        </w:rPr>
        <w:t>％的违约金。</w:t>
      </w:r>
    </w:p>
    <w:p>
      <w:pPr>
        <w:tabs>
          <w:tab w:val="clear" w:pos="426"/>
        </w:tabs>
        <w:ind w:firstLine="560"/>
      </w:pPr>
      <w:r>
        <w:rPr>
          <w:rFonts w:hint="eastAsia"/>
        </w:rPr>
        <w:t>4.乙方所交付的货物品种、型号、规格不符合合同规定的，甲方有权拒收。甲方拒收的，乙方应向甲方支付货款总额</w:t>
      </w:r>
      <w:r>
        <w:rPr>
          <w:rFonts w:hint="eastAsia"/>
          <w:u w:val="single"/>
        </w:rPr>
        <w:t xml:space="preserve">     </w:t>
      </w:r>
      <w:r>
        <w:rPr>
          <w:rFonts w:hint="eastAsia"/>
        </w:rPr>
        <w:t>%的违约金。</w:t>
      </w:r>
    </w:p>
    <w:p>
      <w:pPr>
        <w:tabs>
          <w:tab w:val="clear" w:pos="426"/>
        </w:tabs>
        <w:ind w:firstLine="560"/>
      </w:pPr>
      <w:r>
        <w:rPr>
          <w:rFonts w:hint="eastAsia"/>
        </w:rPr>
        <w:t>5.在乙方承诺的或国家规定的质量保证期内（取两者中最长的期限），</w:t>
      </w:r>
      <w:r>
        <w:t>如经乙方两次维修</w:t>
      </w:r>
      <w:r>
        <w:rPr>
          <w:rFonts w:hint="eastAsia"/>
        </w:rPr>
        <w:t>或更换</w:t>
      </w:r>
      <w:r>
        <w:t>，货物仍不能达到合同约定</w:t>
      </w:r>
      <w:r>
        <w:rPr>
          <w:rFonts w:hint="eastAsia"/>
        </w:rPr>
        <w:t>的</w:t>
      </w:r>
      <w:r>
        <w:t>质量标准，甲方有权退货，乙方</w:t>
      </w:r>
      <w:r>
        <w:rPr>
          <w:rFonts w:hint="eastAsia"/>
        </w:rPr>
        <w:t>应</w:t>
      </w:r>
      <w:r>
        <w:t>退回全部货款</w:t>
      </w:r>
      <w:r>
        <w:rPr>
          <w:rFonts w:hint="eastAsia"/>
        </w:rPr>
        <w:t>并</w:t>
      </w:r>
      <w:r>
        <w:t>赔偿甲方因此遭受的损失。</w:t>
      </w:r>
    </w:p>
    <w:p>
      <w:pPr>
        <w:tabs>
          <w:tab w:val="clear" w:pos="426"/>
        </w:tabs>
        <w:ind w:firstLine="560"/>
      </w:pPr>
      <w:r>
        <w:rPr>
          <w:rFonts w:hint="eastAsia"/>
        </w:rPr>
        <w:t>6.乙方未履行本合同项下的其他义务或违反其在投标文件中的相关承诺的，应按合同总价款的</w:t>
      </w:r>
      <w:r>
        <w:rPr>
          <w:rFonts w:hint="eastAsia"/>
          <w:u w:val="single"/>
        </w:rPr>
        <w:t xml:space="preserve">     </w:t>
      </w:r>
      <w:r>
        <w:rPr>
          <w:rFonts w:hint="eastAsia"/>
        </w:rPr>
        <w:t>%向甲方承担违约责任。</w:t>
      </w:r>
    </w:p>
    <w:p>
      <w:pPr>
        <w:tabs>
          <w:tab w:val="clear" w:pos="426"/>
        </w:tabs>
        <w:ind w:firstLine="560"/>
      </w:pPr>
      <w:r>
        <w:rPr>
          <w:rFonts w:hint="eastAsia"/>
        </w:rPr>
        <w:t>7.乙方在承担上述一项或多项违约责任后，仍应继续履行合同规定的义务（甲方解除合同的除外）。甲方未能及时追究乙方的任何一项违约责任并不表明甲方放弃追究乙方该项或其他违约责任。</w:t>
      </w:r>
    </w:p>
    <w:p>
      <w:pPr>
        <w:tabs>
          <w:tab w:val="clear" w:pos="426"/>
        </w:tabs>
        <w:ind w:firstLine="560"/>
        <w:rPr>
          <w:b/>
        </w:rPr>
      </w:pPr>
      <w:r>
        <w:rPr>
          <w:rFonts w:hint="eastAsia"/>
          <w:b/>
        </w:rPr>
        <w:t>第十条    合同的变更和终止</w:t>
      </w:r>
    </w:p>
    <w:p>
      <w:pPr>
        <w:tabs>
          <w:tab w:val="clear" w:pos="426"/>
        </w:tabs>
        <w:ind w:firstLine="560"/>
      </w:pPr>
      <w:r>
        <w:rPr>
          <w:rFonts w:hint="eastAsia"/>
        </w:rPr>
        <w:t>除《中华人民共和国政府采购法》第４９条、第５０条第二款规定的情形外，本合同一经签订，甲乙双方不得擅自变更、中止或终止合同。</w:t>
      </w:r>
    </w:p>
    <w:p>
      <w:pPr>
        <w:tabs>
          <w:tab w:val="clear" w:pos="426"/>
        </w:tabs>
        <w:ind w:firstLine="560"/>
        <w:rPr>
          <w:b/>
        </w:rPr>
      </w:pPr>
      <w:r>
        <w:rPr>
          <w:rFonts w:hint="eastAsia"/>
          <w:b/>
        </w:rPr>
        <w:t>第十一条   争议的解决</w:t>
      </w:r>
    </w:p>
    <w:p>
      <w:pPr>
        <w:tabs>
          <w:tab w:val="clear" w:pos="426"/>
        </w:tabs>
        <w:ind w:firstLine="560"/>
      </w:pPr>
      <w:r>
        <w:rPr>
          <w:rFonts w:hint="eastAsia"/>
        </w:rPr>
        <w:t>1.因货物的质量问题发生争议的，应当邀请国家认可的质量检测机构对货物质量进行鉴定。货物符合标准的，鉴定费由甲方承担；货物不符合质量标准的，鉴定费由乙方承担。</w:t>
      </w:r>
    </w:p>
    <w:p>
      <w:pPr>
        <w:tabs>
          <w:tab w:val="clear" w:pos="426"/>
        </w:tabs>
        <w:ind w:firstLine="560"/>
      </w:pPr>
      <w:r>
        <w:rPr>
          <w:rFonts w:hint="eastAsia"/>
        </w:rPr>
        <w:t>2.因履行本合同引起的或与本合同有关的争议，甲、乙双方应首先通过友好协商解决，如果协商不能解决争议，则向甲方所在地有管辖权的人民法院提起诉讼；</w:t>
      </w:r>
    </w:p>
    <w:p>
      <w:pPr>
        <w:tabs>
          <w:tab w:val="clear" w:pos="426"/>
        </w:tabs>
        <w:ind w:firstLine="560"/>
        <w:rPr>
          <w:b/>
        </w:rPr>
      </w:pPr>
      <w:r>
        <w:rPr>
          <w:rFonts w:hint="eastAsia"/>
          <w:b/>
        </w:rPr>
        <w:t>第十二条   合同生效及其他</w:t>
      </w:r>
    </w:p>
    <w:p>
      <w:pPr>
        <w:tabs>
          <w:tab w:val="clear" w:pos="426"/>
        </w:tabs>
        <w:ind w:firstLine="560"/>
      </w:pPr>
      <w:r>
        <w:rPr>
          <w:rFonts w:hint="eastAsia"/>
        </w:rPr>
        <w:t>1.下列文件均为本合同的组成部分：</w:t>
      </w:r>
    </w:p>
    <w:p>
      <w:pPr>
        <w:tabs>
          <w:tab w:val="clear" w:pos="426"/>
        </w:tabs>
        <w:ind w:firstLine="560"/>
      </w:pPr>
      <w:r>
        <w:rPr>
          <w:rFonts w:hint="eastAsia"/>
        </w:rPr>
        <w:t>（1）</w:t>
      </w:r>
      <w:r>
        <w:rPr>
          <w:rFonts w:hint="eastAsia"/>
          <w:u w:val="single"/>
        </w:rPr>
        <w:t xml:space="preserve">         </w:t>
      </w:r>
      <w:r>
        <w:rPr>
          <w:rFonts w:hint="eastAsia"/>
        </w:rPr>
        <w:t>号招标文件、答疑及补充通知；</w:t>
      </w:r>
    </w:p>
    <w:p>
      <w:pPr>
        <w:tabs>
          <w:tab w:val="clear" w:pos="426"/>
        </w:tabs>
        <w:ind w:firstLine="560"/>
      </w:pPr>
      <w:r>
        <w:rPr>
          <w:rFonts w:hint="eastAsia"/>
        </w:rPr>
        <w:t>（2）乙方的投标文件；</w:t>
      </w:r>
    </w:p>
    <w:p>
      <w:pPr>
        <w:tabs>
          <w:tab w:val="clear" w:pos="426"/>
        </w:tabs>
        <w:ind w:firstLine="560"/>
      </w:pPr>
      <w:r>
        <w:rPr>
          <w:rFonts w:hint="eastAsia"/>
        </w:rPr>
        <w:t>（3）本合同执行中甲乙双方共同签署的补充与修正文件。</w:t>
      </w:r>
    </w:p>
    <w:p>
      <w:pPr>
        <w:tabs>
          <w:tab w:val="clear" w:pos="426"/>
        </w:tabs>
        <w:ind w:firstLine="560"/>
      </w:pPr>
      <w:r>
        <w:rPr>
          <w:rFonts w:hint="eastAsia"/>
        </w:rPr>
        <w:t>2.本合同一式</w:t>
      </w:r>
      <w:r>
        <w:rPr>
          <w:rFonts w:hint="eastAsia"/>
          <w:u w:val="single"/>
        </w:rPr>
        <w:t xml:space="preserve">     </w:t>
      </w:r>
      <w:r>
        <w:rPr>
          <w:rFonts w:hint="eastAsia"/>
        </w:rPr>
        <w:t>份，甲、乙方双方各执</w:t>
      </w:r>
      <w:r>
        <w:rPr>
          <w:rFonts w:hint="eastAsia"/>
          <w:u w:val="single"/>
        </w:rPr>
        <w:t xml:space="preserve">     </w:t>
      </w:r>
      <w:r>
        <w:rPr>
          <w:rFonts w:hint="eastAsia"/>
        </w:rPr>
        <w:t>份，具有同等法律效力。本合同自双方法定代表人（或授权代表）签字并盖章之日起生效。</w:t>
      </w:r>
    </w:p>
    <w:p>
      <w:pPr>
        <w:tabs>
          <w:tab w:val="clear" w:pos="426"/>
        </w:tabs>
        <w:ind w:firstLine="560"/>
      </w:pPr>
    </w:p>
    <w:p>
      <w:pPr>
        <w:tabs>
          <w:tab w:val="clear" w:pos="426"/>
        </w:tabs>
        <w:ind w:firstLine="560"/>
      </w:pPr>
    </w:p>
    <w:p>
      <w:pPr>
        <w:tabs>
          <w:tab w:val="clear" w:pos="426"/>
        </w:tabs>
        <w:ind w:firstLine="560"/>
      </w:pPr>
      <w:r>
        <w:rPr>
          <w:rFonts w:hint="eastAsia"/>
        </w:rPr>
        <w:t>甲方（采购人）：</w:t>
      </w:r>
      <w:r>
        <w:rPr>
          <w:rFonts w:hint="eastAsia"/>
          <w:u w:val="single"/>
        </w:rPr>
        <w:t xml:space="preserve">      （盖章）       </w:t>
      </w:r>
      <w:r>
        <w:rPr>
          <w:rFonts w:hint="eastAsia"/>
        </w:rPr>
        <w:t xml:space="preserve">    乙方（供应商）：</w:t>
      </w:r>
      <w:r>
        <w:rPr>
          <w:rFonts w:hint="eastAsia"/>
          <w:u w:val="single"/>
        </w:rPr>
        <w:t xml:space="preserve">       （盖章）        </w:t>
      </w:r>
    </w:p>
    <w:p>
      <w:pPr>
        <w:tabs>
          <w:tab w:val="clear" w:pos="426"/>
        </w:tabs>
        <w:ind w:firstLine="560"/>
      </w:pPr>
      <w:r>
        <w:rPr>
          <w:rFonts w:hint="eastAsia"/>
        </w:rPr>
        <w:t>法定代表人：</w:t>
      </w:r>
      <w:r>
        <w:rPr>
          <w:rFonts w:hint="eastAsia"/>
          <w:u w:val="single"/>
        </w:rPr>
        <w:t xml:space="preserve">                         </w:t>
      </w:r>
      <w:r>
        <w:rPr>
          <w:rFonts w:hint="eastAsia"/>
        </w:rPr>
        <w:t xml:space="preserve">    法定代表人：</w:t>
      </w:r>
      <w:r>
        <w:rPr>
          <w:rFonts w:hint="eastAsia"/>
          <w:u w:val="single"/>
        </w:rPr>
        <w:t xml:space="preserve">                           </w:t>
      </w:r>
    </w:p>
    <w:p>
      <w:pPr>
        <w:tabs>
          <w:tab w:val="clear" w:pos="426"/>
        </w:tabs>
        <w:ind w:firstLine="560"/>
        <w:rPr>
          <w:u w:val="single"/>
        </w:rPr>
      </w:pPr>
      <w:r>
        <w:rPr>
          <w:rFonts w:hint="eastAsia"/>
        </w:rPr>
        <w:t>委托代理人：</w:t>
      </w:r>
      <w:r>
        <w:rPr>
          <w:rFonts w:hint="eastAsia"/>
          <w:u w:val="single"/>
        </w:rPr>
        <w:t xml:space="preserve">                         </w:t>
      </w:r>
      <w:r>
        <w:rPr>
          <w:rFonts w:hint="eastAsia"/>
        </w:rPr>
        <w:t xml:space="preserve">    委托代理人：</w:t>
      </w:r>
      <w:r>
        <w:rPr>
          <w:rFonts w:hint="eastAsia"/>
          <w:u w:val="single"/>
        </w:rPr>
        <w:t xml:space="preserve">                           </w:t>
      </w:r>
    </w:p>
    <w:p>
      <w:pPr>
        <w:tabs>
          <w:tab w:val="clear" w:pos="426"/>
        </w:tabs>
        <w:ind w:firstLine="525" w:firstLineChars="250"/>
        <w:rPr>
          <w:b/>
        </w:rPr>
      </w:pPr>
      <w:r>
        <w:rPr>
          <w:rFonts w:hint="eastAsia"/>
        </w:rPr>
        <w:t>日期：</w:t>
      </w:r>
      <w:r>
        <w:rPr>
          <w:rFonts w:hint="eastAsia"/>
          <w:u w:val="single"/>
        </w:rPr>
        <w:t xml:space="preserve">                年     月    日</w:t>
      </w:r>
      <w:r>
        <w:rPr>
          <w:rFonts w:hint="eastAsia"/>
        </w:rPr>
        <w:t xml:space="preserve">     日期：</w:t>
      </w:r>
      <w:r>
        <w:rPr>
          <w:rFonts w:hint="eastAsia"/>
          <w:u w:val="single"/>
        </w:rPr>
        <w:t xml:space="preserve">                 年     月    日</w:t>
      </w:r>
    </w:p>
    <w:p>
      <w:pPr>
        <w:shd w:val="clear" w:color="auto" w:fill="auto"/>
        <w:tabs>
          <w:tab w:val="clear" w:pos="426"/>
        </w:tabs>
        <w:adjustRightInd/>
        <w:snapToGrid/>
        <w:spacing w:line="240" w:lineRule="auto"/>
        <w:jc w:val="left"/>
        <w:rPr>
          <w:color w:val="000000"/>
          <w:sz w:val="24"/>
        </w:rPr>
      </w:pPr>
    </w:p>
    <w:p>
      <w:pPr>
        <w:shd w:val="clear" w:color="auto" w:fill="auto"/>
        <w:tabs>
          <w:tab w:val="clear" w:pos="426"/>
        </w:tabs>
        <w:adjustRightInd/>
        <w:snapToGrid/>
        <w:spacing w:line="240" w:lineRule="auto"/>
        <w:jc w:val="left"/>
        <w:rPr>
          <w:color w:val="000000"/>
          <w:sz w:val="24"/>
        </w:rPr>
      </w:pPr>
    </w:p>
    <w:p>
      <w:pPr>
        <w:shd w:val="clear" w:color="auto" w:fill="auto"/>
        <w:tabs>
          <w:tab w:val="clear" w:pos="426"/>
        </w:tabs>
        <w:adjustRightInd/>
        <w:snapToGrid/>
        <w:spacing w:line="240" w:lineRule="auto"/>
        <w:jc w:val="left"/>
        <w:rPr>
          <w:color w:val="000000"/>
          <w:sz w:val="24"/>
        </w:rPr>
      </w:pPr>
    </w:p>
    <w:p>
      <w:pPr>
        <w:shd w:val="clear" w:color="auto" w:fill="auto"/>
        <w:tabs>
          <w:tab w:val="clear" w:pos="426"/>
        </w:tabs>
        <w:adjustRightInd/>
        <w:snapToGrid/>
        <w:spacing w:line="240" w:lineRule="auto"/>
        <w:jc w:val="left"/>
        <w:rPr>
          <w:color w:val="000000"/>
          <w:sz w:val="24"/>
        </w:rPr>
      </w:pPr>
      <w:r>
        <w:rPr>
          <w:color w:val="000000"/>
          <w:sz w:val="24"/>
        </w:rPr>
        <w:br w:type="page"/>
      </w:r>
    </w:p>
    <w:p>
      <w:pPr>
        <w:tabs>
          <w:tab w:val="clear" w:pos="426"/>
        </w:tabs>
        <w:jc w:val="center"/>
        <w:rPr>
          <w:b/>
          <w:sz w:val="24"/>
        </w:rPr>
      </w:pPr>
    </w:p>
    <w:p>
      <w:pPr>
        <w:tabs>
          <w:tab w:val="clear" w:pos="426"/>
        </w:tabs>
        <w:jc w:val="center"/>
        <w:rPr>
          <w:b/>
          <w:sz w:val="24"/>
        </w:rPr>
      </w:pPr>
      <w:r>
        <w:rPr>
          <w:rFonts w:hint="eastAsia"/>
          <w:b/>
          <w:sz w:val="24"/>
        </w:rPr>
        <w:t>三、履约担保</w:t>
      </w:r>
    </w:p>
    <w:p>
      <w:pPr>
        <w:tabs>
          <w:tab w:val="clear" w:pos="426"/>
        </w:tabs>
        <w:ind w:left="6094" w:leftChars="2902"/>
        <w:rPr>
          <w:sz w:val="22"/>
          <w:szCs w:val="22"/>
        </w:rPr>
      </w:pPr>
    </w:p>
    <w:p>
      <w:pPr>
        <w:tabs>
          <w:tab w:val="clear" w:pos="426"/>
        </w:tabs>
        <w:ind w:left="6094" w:leftChars="2902"/>
        <w:rPr>
          <w:u w:val="single"/>
        </w:rPr>
      </w:pPr>
      <w:r>
        <w:rPr>
          <w:rFonts w:hint="eastAsia"/>
          <w:sz w:val="22"/>
          <w:szCs w:val="22"/>
        </w:rPr>
        <w:t>保函编号：</w:t>
      </w:r>
      <w:r>
        <w:rPr>
          <w:rFonts w:hint="eastAsia"/>
          <w:sz w:val="22"/>
          <w:szCs w:val="22"/>
          <w:u w:val="single"/>
        </w:rPr>
        <w:t xml:space="preserve">                     </w:t>
      </w:r>
    </w:p>
    <w:p>
      <w:pPr>
        <w:tabs>
          <w:tab w:val="clear" w:pos="426"/>
        </w:tabs>
        <w:rPr>
          <w:sz w:val="22"/>
          <w:szCs w:val="22"/>
        </w:rPr>
      </w:pPr>
      <w:r>
        <w:rPr>
          <w:rFonts w:hint="eastAsia"/>
          <w:sz w:val="22"/>
          <w:szCs w:val="22"/>
        </w:rPr>
        <w:t>致：</w:t>
      </w:r>
      <w:r>
        <w:rPr>
          <w:rFonts w:hint="eastAsia"/>
          <w:sz w:val="22"/>
          <w:szCs w:val="22"/>
          <w:u w:val="single"/>
        </w:rPr>
        <w:t xml:space="preserve">  </w:t>
      </w:r>
      <w:r>
        <w:rPr>
          <w:rFonts w:hint="eastAsia"/>
          <w:u w:val="single"/>
        </w:rPr>
        <w:t xml:space="preserve">               </w:t>
      </w:r>
      <w:r>
        <w:rPr>
          <w:rFonts w:hint="eastAsia"/>
          <w:sz w:val="22"/>
          <w:szCs w:val="22"/>
          <w:u w:val="single"/>
        </w:rPr>
        <w:t xml:space="preserve"> </w:t>
      </w:r>
      <w:r>
        <w:rPr>
          <w:rFonts w:hint="eastAsia"/>
          <w:sz w:val="22"/>
          <w:szCs w:val="22"/>
        </w:rPr>
        <w:t xml:space="preserve">: </w:t>
      </w:r>
    </w:p>
    <w:p>
      <w:pPr>
        <w:tabs>
          <w:tab w:val="clear" w:pos="426"/>
        </w:tabs>
      </w:pPr>
      <w:r>
        <w:rPr>
          <w:rFonts w:hint="eastAsia"/>
        </w:rPr>
        <w:t xml:space="preserve">鉴于 </w:t>
      </w:r>
      <w:r>
        <w:rPr>
          <w:rFonts w:hint="eastAsia"/>
          <w:u w:val="single"/>
        </w:rPr>
        <w:t xml:space="preserve">     （被保护人)       </w:t>
      </w:r>
      <w:r>
        <w:rPr>
          <w:rFonts w:hint="eastAsia"/>
        </w:rPr>
        <w:t>已于贵方签订了</w:t>
      </w:r>
      <w:r>
        <w:rPr>
          <w:rFonts w:hint="eastAsia"/>
          <w:u w:val="single"/>
        </w:rPr>
        <w:t xml:space="preserve">  （项目名称）（项目编号：      ）  </w:t>
      </w:r>
      <w:r>
        <w:rPr>
          <w:rFonts w:hint="eastAsia"/>
        </w:rPr>
        <w:t>的</w:t>
      </w:r>
      <w:r>
        <w:rPr>
          <w:rFonts w:hint="eastAsia"/>
          <w:u w:val="single"/>
        </w:rPr>
        <w:t xml:space="preserve">  （采购合同名称）  </w:t>
      </w:r>
      <w:r>
        <w:rPr>
          <w:rFonts w:hint="eastAsia"/>
        </w:rPr>
        <w:t>采购合同（下称合同)，工期自</w:t>
      </w:r>
      <w:r>
        <w:rPr>
          <w:rFonts w:hint="eastAsia"/>
          <w:u w:val="single"/>
        </w:rPr>
        <w:t xml:space="preserve">       年   月   日</w:t>
      </w:r>
      <w:r>
        <w:rPr>
          <w:rFonts w:hint="eastAsia"/>
        </w:rPr>
        <w:t>至</w:t>
      </w:r>
      <w:r>
        <w:rPr>
          <w:rFonts w:hint="eastAsia"/>
          <w:u w:val="single"/>
        </w:rPr>
        <w:t xml:space="preserve">       年   月   日</w:t>
      </w:r>
      <w:r>
        <w:rPr>
          <w:rFonts w:hint="eastAsia"/>
        </w:rPr>
        <w:t>。我方接受被保证人的委托，在此向受益人提供不可撤销的履约保函：</w:t>
      </w:r>
    </w:p>
    <w:p>
      <w:pPr>
        <w:tabs>
          <w:tab w:val="clear" w:pos="426"/>
        </w:tabs>
      </w:pPr>
      <w:r>
        <w:rPr>
          <w:rFonts w:hint="eastAsia"/>
        </w:rPr>
        <w:t>1．本保证担保的最高担保金额为人民币</w:t>
      </w:r>
      <w:r>
        <w:rPr>
          <w:rFonts w:hint="eastAsia"/>
          <w:u w:val="single"/>
        </w:rPr>
        <w:t xml:space="preserve">   （小写)    </w:t>
      </w:r>
      <w:r>
        <w:rPr>
          <w:rFonts w:hint="eastAsia"/>
        </w:rPr>
        <w:t>元（</w:t>
      </w:r>
      <w:r>
        <w:rPr>
          <w:rFonts w:hint="eastAsia"/>
          <w:u w:val="single"/>
        </w:rPr>
        <w:t xml:space="preserve">   （大写)     </w:t>
      </w:r>
      <w:r>
        <w:rPr>
          <w:rFonts w:hint="eastAsia"/>
        </w:rPr>
        <w:t>元）。</w:t>
      </w:r>
    </w:p>
    <w:p>
      <w:pPr>
        <w:tabs>
          <w:tab w:val="clear" w:pos="426"/>
        </w:tabs>
      </w:pPr>
      <w:r>
        <w:rPr>
          <w:rFonts w:hint="eastAsia"/>
        </w:rPr>
        <w:t>2．本保证担保的保证期间自</w:t>
      </w:r>
      <w:r>
        <w:rPr>
          <w:rFonts w:hint="eastAsia"/>
          <w:u w:val="single"/>
        </w:rPr>
        <w:t xml:space="preserve">        年    月   日</w:t>
      </w:r>
      <w:r>
        <w:rPr>
          <w:rFonts w:hint="eastAsia"/>
        </w:rPr>
        <w:t>至</w:t>
      </w:r>
      <w:r>
        <w:rPr>
          <w:rFonts w:hint="eastAsia"/>
          <w:u w:val="single"/>
        </w:rPr>
        <w:t xml:space="preserve">        年   月   日</w:t>
      </w:r>
      <w:r>
        <w:rPr>
          <w:rFonts w:hint="eastAsia"/>
        </w:rPr>
        <w:t>。</w:t>
      </w:r>
    </w:p>
    <w:p>
      <w:pPr>
        <w:tabs>
          <w:tab w:val="clear" w:pos="426"/>
        </w:tabs>
      </w:pPr>
      <w:r>
        <w:rPr>
          <w:rFonts w:hint="eastAsia"/>
        </w:rPr>
        <w:t>3．在本保证担保的保证期间内，我方将在收到</w:t>
      </w:r>
      <w:r>
        <w:rPr>
          <w:rFonts w:hint="eastAsia"/>
          <w:u w:val="single"/>
        </w:rPr>
        <w:t xml:space="preserve">      （受益人）     </w:t>
      </w:r>
      <w:r>
        <w:rPr>
          <w:rFonts w:hint="eastAsia"/>
        </w:rPr>
        <w:t>法定代表人或其授权委托代理人签字确认并加盖公章的书面索赔通知后</w:t>
      </w:r>
      <w:r>
        <w:rPr>
          <w:rFonts w:hint="eastAsia"/>
          <w:u w:val="single"/>
        </w:rPr>
        <w:t xml:space="preserve">     </w:t>
      </w:r>
      <w:r>
        <w:rPr>
          <w:rFonts w:hint="eastAsia"/>
        </w:rPr>
        <w:t>个工作日内，不争辩、不挑剔、不可撤销地向受益人支付索赔款，直至本保证的最高担保金额。</w:t>
      </w:r>
    </w:p>
    <w:p>
      <w:pPr>
        <w:tabs>
          <w:tab w:val="clear" w:pos="426"/>
        </w:tabs>
      </w:pPr>
      <w:r>
        <w:rPr>
          <w:rFonts w:hint="eastAsia"/>
        </w:rPr>
        <w:t>4．索赔通知应当说明索赔理由、索赔款额的计算方法，并必须在本保证担保的保证期间内送达我方。</w:t>
      </w:r>
    </w:p>
    <w:p>
      <w:pPr>
        <w:tabs>
          <w:tab w:val="clear" w:pos="426"/>
        </w:tabs>
      </w:pPr>
      <w:r>
        <w:rPr>
          <w:rFonts w:hint="eastAsia"/>
        </w:rPr>
        <w:t>5．本保证担保项下的权利不得转让。</w:t>
      </w:r>
    </w:p>
    <w:p>
      <w:pPr>
        <w:tabs>
          <w:tab w:val="clear" w:pos="426"/>
        </w:tabs>
      </w:pPr>
      <w:r>
        <w:rPr>
          <w:rFonts w:hint="eastAsia"/>
        </w:rPr>
        <w:t>6．我方提供本保证担保后，受益人与被保证人对合同进行修订的，应当将修订后的合同原件送我方备案。</w:t>
      </w:r>
    </w:p>
    <w:p>
      <w:pPr>
        <w:tabs>
          <w:tab w:val="clear" w:pos="426"/>
        </w:tabs>
      </w:pPr>
      <w:r>
        <w:rPr>
          <w:rFonts w:hint="eastAsia"/>
        </w:rPr>
        <w:t>7．本保证担保的保证期间届满，或我方向受益人支付的索赔款已达本保证担保的最高担保金额，我方的保证责任免除。</w:t>
      </w:r>
    </w:p>
    <w:p>
      <w:pPr>
        <w:tabs>
          <w:tab w:val="clear" w:pos="426"/>
        </w:tabs>
      </w:pPr>
      <w:r>
        <w:rPr>
          <w:rFonts w:hint="eastAsia"/>
        </w:rPr>
        <w:t>8．本保证担保适用中华人民共和国法律。</w:t>
      </w:r>
    </w:p>
    <w:p>
      <w:pPr>
        <w:tabs>
          <w:tab w:val="clear" w:pos="426"/>
        </w:tabs>
      </w:pPr>
      <w:r>
        <w:rPr>
          <w:rFonts w:hint="eastAsia"/>
        </w:rPr>
        <w:t>9．本保证担保以中文文本为准，涂改无效。</w:t>
      </w:r>
    </w:p>
    <w:p>
      <w:pPr>
        <w:tabs>
          <w:tab w:val="clear" w:pos="426"/>
        </w:tabs>
      </w:pPr>
    </w:p>
    <w:p>
      <w:pPr>
        <w:tabs>
          <w:tab w:val="clear" w:pos="426"/>
        </w:tabs>
      </w:pPr>
      <w:r>
        <w:rPr>
          <w:rFonts w:hint="eastAsia"/>
        </w:rPr>
        <w:t>（本保函失效后，请将原件退回我方注销)</w:t>
      </w:r>
    </w:p>
    <w:p>
      <w:pPr>
        <w:tabs>
          <w:tab w:val="clear" w:pos="426"/>
        </w:tabs>
      </w:pPr>
    </w:p>
    <w:p>
      <w:pPr>
        <w:tabs>
          <w:tab w:val="clear" w:pos="426"/>
        </w:tabs>
      </w:pPr>
      <w:r>
        <w:rPr>
          <w:rFonts w:hint="eastAsia"/>
        </w:rPr>
        <w:t>保证人名称（公章)：</w:t>
      </w:r>
      <w:r>
        <w:rPr>
          <w:rFonts w:hint="eastAsia"/>
          <w:u w:val="single"/>
        </w:rPr>
        <w:t xml:space="preserve">                                    </w:t>
      </w:r>
    </w:p>
    <w:p>
      <w:pPr>
        <w:tabs>
          <w:tab w:val="clear" w:pos="426"/>
        </w:tabs>
      </w:pPr>
      <w:r>
        <w:rPr>
          <w:rFonts w:hint="eastAsia"/>
        </w:rPr>
        <w:t>法定代表人或委托代理人（签字)：</w:t>
      </w:r>
      <w:r>
        <w:rPr>
          <w:rFonts w:hint="eastAsia"/>
          <w:u w:val="single"/>
        </w:rPr>
        <w:t xml:space="preserve">                        </w:t>
      </w:r>
    </w:p>
    <w:p>
      <w:pPr>
        <w:tabs>
          <w:tab w:val="clear" w:pos="426"/>
        </w:tabs>
      </w:pPr>
      <w:r>
        <w:rPr>
          <w:rFonts w:hint="eastAsia"/>
        </w:rPr>
        <w:t>单位地址：</w:t>
      </w:r>
      <w:r>
        <w:rPr>
          <w:rFonts w:hint="eastAsia"/>
          <w:u w:val="single"/>
        </w:rPr>
        <w:t xml:space="preserve">                                             </w:t>
      </w:r>
    </w:p>
    <w:p>
      <w:pPr>
        <w:tabs>
          <w:tab w:val="clear" w:pos="426"/>
        </w:tabs>
      </w:pPr>
      <w:r>
        <w:rPr>
          <w:rFonts w:hint="eastAsia"/>
        </w:rPr>
        <w:t>电话：</w:t>
      </w:r>
      <w:r>
        <w:rPr>
          <w:rFonts w:hint="eastAsia"/>
          <w:u w:val="single"/>
        </w:rPr>
        <w:t xml:space="preserve">                       </w:t>
      </w:r>
      <w:r>
        <w:rPr>
          <w:rFonts w:hint="eastAsia"/>
        </w:rPr>
        <w:t>传真：</w:t>
      </w:r>
      <w:r>
        <w:rPr>
          <w:rFonts w:hint="eastAsia"/>
          <w:u w:val="single"/>
        </w:rPr>
        <w:t xml:space="preserve">                    </w:t>
      </w:r>
    </w:p>
    <w:p>
      <w:pPr>
        <w:tabs>
          <w:tab w:val="clear" w:pos="426"/>
        </w:tabs>
      </w:pPr>
      <w:r>
        <w:rPr>
          <w:rFonts w:hint="eastAsia"/>
        </w:rPr>
        <w:t>日期：</w:t>
      </w:r>
      <w:r>
        <w:rPr>
          <w:rFonts w:hint="eastAsia" w:ascii="仿宋_GB2312" w:eastAsia="仿宋_GB2312"/>
          <w:szCs w:val="21"/>
          <w:u w:val="single"/>
        </w:rPr>
        <w:t xml:space="preserve">                                                 </w:t>
      </w:r>
    </w:p>
    <w:p>
      <w:pPr>
        <w:tabs>
          <w:tab w:val="clear" w:pos="426"/>
        </w:tabs>
      </w:pPr>
    </w:p>
    <w:p>
      <w:pPr>
        <w:tabs>
          <w:tab w:val="clear" w:pos="426"/>
        </w:tabs>
      </w:pPr>
      <w:r>
        <w:rPr>
          <w:rFonts w:hint="eastAsia"/>
          <w:highlight w:val="yellow"/>
        </w:rPr>
        <w:t>说明：《履约担保》为中标后提交履约保函时所用，投标文件中无需提供《履约担保》。</w:t>
      </w:r>
    </w:p>
    <w:p>
      <w:pPr>
        <w:shd w:val="clear" w:color="auto" w:fill="auto"/>
        <w:tabs>
          <w:tab w:val="clear" w:pos="426"/>
        </w:tabs>
        <w:adjustRightInd/>
        <w:snapToGrid/>
        <w:spacing w:line="240" w:lineRule="auto"/>
        <w:jc w:val="left"/>
      </w:pPr>
      <w:r>
        <w:br w:type="page"/>
      </w:r>
    </w:p>
    <w:p>
      <w:pPr>
        <w:tabs>
          <w:tab w:val="clear" w:pos="426"/>
        </w:tabs>
      </w:pPr>
    </w:p>
    <w:p>
      <w:pPr>
        <w:tabs>
          <w:tab w:val="clear" w:pos="426"/>
        </w:tabs>
        <w:jc w:val="center"/>
        <w:rPr>
          <w:b/>
          <w:sz w:val="24"/>
        </w:rPr>
      </w:pPr>
      <w:r>
        <w:rPr>
          <w:rFonts w:hint="eastAsia"/>
          <w:b/>
          <w:sz w:val="24"/>
        </w:rPr>
        <w:t>四、政府采购履约情况反馈表</w:t>
      </w:r>
    </w:p>
    <w:p>
      <w:pPr>
        <w:tabs>
          <w:tab w:val="clear" w:pos="426"/>
        </w:tabs>
        <w:jc w:val="center"/>
        <w:rPr>
          <w:b/>
          <w:sz w:val="24"/>
        </w:rPr>
      </w:pPr>
    </w:p>
    <w:p>
      <w:pPr>
        <w:tabs>
          <w:tab w:val="clear" w:pos="426"/>
        </w:tabs>
        <w:rPr>
          <w:u w:val="single"/>
        </w:rPr>
      </w:pPr>
      <w:r>
        <w:rPr>
          <w:rFonts w:hint="eastAsia"/>
        </w:rPr>
        <w:t>采购单位名称：</w:t>
      </w:r>
      <w:r>
        <w:rPr>
          <w:rFonts w:hint="eastAsia"/>
          <w:u w:val="single"/>
        </w:rPr>
        <w:t xml:space="preserve">                                   </w:t>
      </w:r>
      <w:r>
        <w:rPr>
          <w:rFonts w:hint="eastAsia"/>
        </w:rPr>
        <w:t>联系人及电话：</w:t>
      </w:r>
      <w:r>
        <w:rPr>
          <w:rFonts w:hint="eastAsia"/>
          <w:u w:val="single"/>
        </w:rPr>
        <w:t xml:space="preserve">                            </w:t>
      </w:r>
    </w:p>
    <w:tbl>
      <w:tblPr>
        <w:tblStyle w:val="44"/>
        <w:tblW w:w="957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773"/>
        <w:gridCol w:w="773"/>
        <w:gridCol w:w="2704"/>
        <w:gridCol w:w="2125"/>
        <w:gridCol w:w="229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2450" w:type="dxa"/>
            <w:gridSpan w:val="3"/>
            <w:vAlign w:val="center"/>
          </w:tcPr>
          <w:p>
            <w:pPr>
              <w:tabs>
                <w:tab w:val="clear" w:pos="426"/>
              </w:tabs>
              <w:spacing w:line="240" w:lineRule="auto"/>
            </w:pPr>
            <w:r>
              <w:rPr>
                <w:rFonts w:hint="eastAsia"/>
              </w:rPr>
              <w:t>采购项目名称</w:t>
            </w:r>
          </w:p>
        </w:tc>
        <w:tc>
          <w:tcPr>
            <w:tcW w:w="2704" w:type="dxa"/>
            <w:vAlign w:val="center"/>
          </w:tcPr>
          <w:p>
            <w:pPr>
              <w:tabs>
                <w:tab w:val="clear" w:pos="426"/>
              </w:tabs>
              <w:spacing w:line="240" w:lineRule="auto"/>
            </w:pPr>
          </w:p>
        </w:tc>
        <w:tc>
          <w:tcPr>
            <w:tcW w:w="2125" w:type="dxa"/>
            <w:vAlign w:val="center"/>
          </w:tcPr>
          <w:p>
            <w:pPr>
              <w:tabs>
                <w:tab w:val="clear" w:pos="426"/>
              </w:tabs>
              <w:spacing w:line="240" w:lineRule="auto"/>
            </w:pPr>
            <w:r>
              <w:rPr>
                <w:rFonts w:hint="eastAsia"/>
              </w:rPr>
              <w:t>项目编号</w:t>
            </w:r>
          </w:p>
        </w:tc>
        <w:tc>
          <w:tcPr>
            <w:tcW w:w="2291" w:type="dxa"/>
            <w:vAlign w:val="center"/>
          </w:tcPr>
          <w:p>
            <w:pPr>
              <w:pStyle w:val="7"/>
              <w:tabs>
                <w:tab w:val="clear" w:pos="426"/>
              </w:tabs>
              <w:spacing w:line="240" w:lineRule="auto"/>
              <w:jc w:val="both"/>
              <w:rPr>
                <w:rFonts w:ascii="宋体" w:hAnsi="宋体" w:cs="宋体"/>
                <w:kern w:val="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jc w:val="center"/>
        </w:trPr>
        <w:tc>
          <w:tcPr>
            <w:tcW w:w="2450" w:type="dxa"/>
            <w:gridSpan w:val="3"/>
            <w:vAlign w:val="center"/>
          </w:tcPr>
          <w:p>
            <w:pPr>
              <w:tabs>
                <w:tab w:val="clear" w:pos="426"/>
              </w:tabs>
              <w:spacing w:line="240" w:lineRule="auto"/>
            </w:pPr>
            <w:r>
              <w:rPr>
                <w:rFonts w:hint="eastAsia"/>
              </w:rPr>
              <w:t>中标人名称</w:t>
            </w:r>
          </w:p>
        </w:tc>
        <w:tc>
          <w:tcPr>
            <w:tcW w:w="2704" w:type="dxa"/>
            <w:vAlign w:val="center"/>
          </w:tcPr>
          <w:p>
            <w:pPr>
              <w:tabs>
                <w:tab w:val="clear" w:pos="426"/>
              </w:tabs>
              <w:spacing w:line="240" w:lineRule="auto"/>
            </w:pPr>
          </w:p>
        </w:tc>
        <w:tc>
          <w:tcPr>
            <w:tcW w:w="2125" w:type="dxa"/>
            <w:vAlign w:val="center"/>
          </w:tcPr>
          <w:p>
            <w:pPr>
              <w:tabs>
                <w:tab w:val="clear" w:pos="426"/>
              </w:tabs>
              <w:spacing w:line="240" w:lineRule="auto"/>
            </w:pPr>
            <w:r>
              <w:rPr>
                <w:rFonts w:hint="eastAsia"/>
              </w:rPr>
              <w:t>供应商</w:t>
            </w:r>
          </w:p>
          <w:p>
            <w:pPr>
              <w:tabs>
                <w:tab w:val="clear" w:pos="426"/>
              </w:tabs>
              <w:spacing w:line="240" w:lineRule="auto"/>
            </w:pPr>
            <w:r>
              <w:rPr>
                <w:rFonts w:hint="eastAsia"/>
              </w:rPr>
              <w:t>联系人及电话</w:t>
            </w:r>
          </w:p>
        </w:tc>
        <w:tc>
          <w:tcPr>
            <w:tcW w:w="2291" w:type="dxa"/>
            <w:vAlign w:val="center"/>
          </w:tcPr>
          <w:p>
            <w:pPr>
              <w:tabs>
                <w:tab w:val="clear" w:pos="426"/>
              </w:tabs>
              <w:spacing w:line="240" w:lineRule="auto"/>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38" w:hRule="atLeast"/>
          <w:jc w:val="center"/>
        </w:trPr>
        <w:tc>
          <w:tcPr>
            <w:tcW w:w="2450" w:type="dxa"/>
            <w:gridSpan w:val="3"/>
            <w:vAlign w:val="center"/>
          </w:tcPr>
          <w:p>
            <w:pPr>
              <w:tabs>
                <w:tab w:val="clear" w:pos="426"/>
              </w:tabs>
              <w:spacing w:line="240" w:lineRule="auto"/>
            </w:pPr>
            <w:r>
              <w:rPr>
                <w:rFonts w:hint="eastAsia"/>
              </w:rPr>
              <w:t>中标金额</w:t>
            </w:r>
          </w:p>
        </w:tc>
        <w:tc>
          <w:tcPr>
            <w:tcW w:w="2704" w:type="dxa"/>
            <w:vAlign w:val="center"/>
          </w:tcPr>
          <w:p>
            <w:pPr>
              <w:tabs>
                <w:tab w:val="clear" w:pos="426"/>
              </w:tabs>
              <w:spacing w:line="240" w:lineRule="auto"/>
            </w:pPr>
          </w:p>
        </w:tc>
        <w:tc>
          <w:tcPr>
            <w:tcW w:w="2125" w:type="dxa"/>
            <w:vAlign w:val="center"/>
          </w:tcPr>
          <w:p>
            <w:pPr>
              <w:tabs>
                <w:tab w:val="clear" w:pos="426"/>
              </w:tabs>
              <w:spacing w:line="240" w:lineRule="auto"/>
            </w:pPr>
            <w:r>
              <w:rPr>
                <w:rFonts w:hint="eastAsia"/>
              </w:rPr>
              <w:t>合同履约时间</w:t>
            </w:r>
          </w:p>
        </w:tc>
        <w:tc>
          <w:tcPr>
            <w:tcW w:w="2291" w:type="dxa"/>
            <w:vAlign w:val="center"/>
          </w:tcPr>
          <w:p>
            <w:pPr>
              <w:tabs>
                <w:tab w:val="clear" w:pos="426"/>
              </w:tabs>
              <w:spacing w:line="240" w:lineRule="auto"/>
            </w:pPr>
            <w:r>
              <w:rPr>
                <w:rFonts w:hint="eastAsia"/>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restart"/>
            <w:vAlign w:val="center"/>
          </w:tcPr>
          <w:p>
            <w:pPr>
              <w:tabs>
                <w:tab w:val="clear" w:pos="426"/>
              </w:tabs>
              <w:spacing w:line="240" w:lineRule="auto"/>
              <w:jc w:val="center"/>
            </w:pPr>
            <w:r>
              <w:rPr>
                <w:rFonts w:hint="eastAsia"/>
              </w:rPr>
              <w:t>履约情况评价</w:t>
            </w:r>
          </w:p>
        </w:tc>
        <w:tc>
          <w:tcPr>
            <w:tcW w:w="1546" w:type="dxa"/>
            <w:gridSpan w:val="2"/>
            <w:tcBorders>
              <w:right w:val="single" w:color="auto" w:sz="4" w:space="0"/>
            </w:tcBorders>
            <w:vAlign w:val="center"/>
          </w:tcPr>
          <w:p>
            <w:pPr>
              <w:tabs>
                <w:tab w:val="clear" w:pos="426"/>
              </w:tabs>
              <w:spacing w:line="240" w:lineRule="auto"/>
              <w:jc w:val="center"/>
            </w:pPr>
            <w:r>
              <w:rPr>
                <w:rFonts w:hint="eastAsia"/>
              </w:rPr>
              <w:t>总体评价</w:t>
            </w:r>
          </w:p>
        </w:tc>
        <w:tc>
          <w:tcPr>
            <w:tcW w:w="7120" w:type="dxa"/>
            <w:gridSpan w:val="3"/>
            <w:tcBorders>
              <w:left w:val="single" w:color="auto" w:sz="4" w:space="0"/>
            </w:tcBorders>
            <w:vAlign w:val="center"/>
          </w:tcPr>
          <w:p>
            <w:pPr>
              <w:tabs>
                <w:tab w:val="clear" w:pos="426"/>
              </w:tabs>
              <w:spacing w:line="240" w:lineRule="auto"/>
            </w:pPr>
            <w:r>
              <w:rPr>
                <w:rFonts w:hint="eastAsia"/>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jc w:val="center"/>
            </w:pPr>
          </w:p>
        </w:tc>
        <w:tc>
          <w:tcPr>
            <w:tcW w:w="773" w:type="dxa"/>
            <w:vMerge w:val="restart"/>
            <w:tcBorders>
              <w:right w:val="single" w:color="auto" w:sz="4" w:space="0"/>
            </w:tcBorders>
            <w:vAlign w:val="center"/>
          </w:tcPr>
          <w:p>
            <w:pPr>
              <w:tabs>
                <w:tab w:val="clear" w:pos="426"/>
              </w:tabs>
              <w:spacing w:line="240" w:lineRule="auto"/>
              <w:jc w:val="center"/>
            </w:pPr>
            <w:r>
              <w:rPr>
                <w:rFonts w:hint="eastAsia"/>
              </w:rPr>
              <w:t>分项评价</w:t>
            </w:r>
          </w:p>
        </w:tc>
        <w:tc>
          <w:tcPr>
            <w:tcW w:w="773" w:type="dxa"/>
            <w:tcBorders>
              <w:left w:val="single" w:color="auto" w:sz="4" w:space="0"/>
              <w:right w:val="single" w:color="auto" w:sz="4" w:space="0"/>
            </w:tcBorders>
            <w:vAlign w:val="center"/>
          </w:tcPr>
          <w:p>
            <w:pPr>
              <w:tabs>
                <w:tab w:val="clear" w:pos="426"/>
              </w:tabs>
              <w:spacing w:line="240" w:lineRule="auto"/>
              <w:jc w:val="center"/>
            </w:pPr>
            <w:r>
              <w:rPr>
                <w:rFonts w:hint="eastAsia"/>
              </w:rPr>
              <w:t>质量方面</w:t>
            </w:r>
          </w:p>
        </w:tc>
        <w:tc>
          <w:tcPr>
            <w:tcW w:w="7120" w:type="dxa"/>
            <w:gridSpan w:val="3"/>
            <w:tcBorders>
              <w:left w:val="single" w:color="auto" w:sz="4" w:space="0"/>
            </w:tcBorders>
            <w:vAlign w:val="center"/>
          </w:tcPr>
          <w:p>
            <w:pPr>
              <w:tabs>
                <w:tab w:val="clear" w:pos="426"/>
              </w:tabs>
              <w:spacing w:line="240" w:lineRule="auto"/>
            </w:pPr>
            <w:r>
              <w:rPr>
                <w:rFonts w:hint="eastAsia"/>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pPr>
          </w:p>
        </w:tc>
        <w:tc>
          <w:tcPr>
            <w:tcW w:w="773" w:type="dxa"/>
            <w:vMerge w:val="continue"/>
            <w:tcBorders>
              <w:right w:val="single" w:color="auto" w:sz="4" w:space="0"/>
            </w:tcBorders>
            <w:vAlign w:val="center"/>
          </w:tcPr>
          <w:p>
            <w:pPr>
              <w:tabs>
                <w:tab w:val="clear" w:pos="426"/>
              </w:tabs>
              <w:spacing w:line="240" w:lineRule="auto"/>
            </w:pPr>
          </w:p>
        </w:tc>
        <w:tc>
          <w:tcPr>
            <w:tcW w:w="773" w:type="dxa"/>
            <w:tcBorders>
              <w:left w:val="single" w:color="auto" w:sz="4" w:space="0"/>
              <w:right w:val="single" w:color="auto" w:sz="4" w:space="0"/>
            </w:tcBorders>
            <w:vAlign w:val="center"/>
          </w:tcPr>
          <w:p>
            <w:pPr>
              <w:tabs>
                <w:tab w:val="clear" w:pos="426"/>
              </w:tabs>
              <w:spacing w:line="240" w:lineRule="auto"/>
              <w:jc w:val="center"/>
            </w:pPr>
            <w:r>
              <w:rPr>
                <w:rFonts w:hint="eastAsia"/>
              </w:rPr>
              <w:t>价格方面</w:t>
            </w:r>
          </w:p>
        </w:tc>
        <w:tc>
          <w:tcPr>
            <w:tcW w:w="7120" w:type="dxa"/>
            <w:gridSpan w:val="3"/>
            <w:tcBorders>
              <w:left w:val="single" w:color="auto" w:sz="4" w:space="0"/>
            </w:tcBorders>
            <w:vAlign w:val="center"/>
          </w:tcPr>
          <w:p>
            <w:pPr>
              <w:tabs>
                <w:tab w:val="clear" w:pos="426"/>
              </w:tabs>
              <w:spacing w:line="240" w:lineRule="auto"/>
            </w:pPr>
            <w:r>
              <w:rPr>
                <w:rFonts w:hint="eastAsia"/>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pPr>
          </w:p>
        </w:tc>
        <w:tc>
          <w:tcPr>
            <w:tcW w:w="773" w:type="dxa"/>
            <w:vMerge w:val="continue"/>
            <w:tcBorders>
              <w:right w:val="single" w:color="auto" w:sz="4" w:space="0"/>
            </w:tcBorders>
            <w:vAlign w:val="center"/>
          </w:tcPr>
          <w:p>
            <w:pPr>
              <w:tabs>
                <w:tab w:val="clear" w:pos="426"/>
              </w:tabs>
              <w:spacing w:line="240" w:lineRule="auto"/>
            </w:pPr>
          </w:p>
        </w:tc>
        <w:tc>
          <w:tcPr>
            <w:tcW w:w="773" w:type="dxa"/>
            <w:tcBorders>
              <w:left w:val="single" w:color="auto" w:sz="4" w:space="0"/>
              <w:right w:val="single" w:color="auto" w:sz="4" w:space="0"/>
            </w:tcBorders>
            <w:vAlign w:val="center"/>
          </w:tcPr>
          <w:p>
            <w:pPr>
              <w:tabs>
                <w:tab w:val="clear" w:pos="426"/>
              </w:tabs>
              <w:spacing w:line="240" w:lineRule="auto"/>
              <w:jc w:val="center"/>
            </w:pPr>
            <w:r>
              <w:rPr>
                <w:rFonts w:hint="eastAsia"/>
              </w:rPr>
              <w:t>服务方面</w:t>
            </w:r>
          </w:p>
        </w:tc>
        <w:tc>
          <w:tcPr>
            <w:tcW w:w="7120" w:type="dxa"/>
            <w:gridSpan w:val="3"/>
            <w:tcBorders>
              <w:left w:val="single" w:color="auto" w:sz="4" w:space="0"/>
            </w:tcBorders>
            <w:vAlign w:val="center"/>
          </w:tcPr>
          <w:p>
            <w:pPr>
              <w:tabs>
                <w:tab w:val="clear" w:pos="426"/>
              </w:tabs>
              <w:spacing w:line="240" w:lineRule="auto"/>
            </w:pPr>
            <w:r>
              <w:rPr>
                <w:rFonts w:hint="eastAsia"/>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pPr>
          </w:p>
        </w:tc>
        <w:tc>
          <w:tcPr>
            <w:tcW w:w="773" w:type="dxa"/>
            <w:vMerge w:val="continue"/>
            <w:tcBorders>
              <w:right w:val="single" w:color="auto" w:sz="4" w:space="0"/>
            </w:tcBorders>
            <w:vAlign w:val="center"/>
          </w:tcPr>
          <w:p>
            <w:pPr>
              <w:tabs>
                <w:tab w:val="clear" w:pos="426"/>
              </w:tabs>
              <w:spacing w:line="240" w:lineRule="auto"/>
            </w:pPr>
          </w:p>
        </w:tc>
        <w:tc>
          <w:tcPr>
            <w:tcW w:w="773" w:type="dxa"/>
            <w:tcBorders>
              <w:left w:val="single" w:color="auto" w:sz="4" w:space="0"/>
              <w:right w:val="single" w:color="auto" w:sz="4" w:space="0"/>
            </w:tcBorders>
            <w:vAlign w:val="center"/>
          </w:tcPr>
          <w:p>
            <w:pPr>
              <w:tabs>
                <w:tab w:val="clear" w:pos="426"/>
              </w:tabs>
              <w:spacing w:line="240" w:lineRule="auto"/>
              <w:jc w:val="center"/>
            </w:pPr>
            <w:r>
              <w:rPr>
                <w:rFonts w:hint="eastAsia"/>
              </w:rPr>
              <w:t>时间方面</w:t>
            </w:r>
          </w:p>
        </w:tc>
        <w:tc>
          <w:tcPr>
            <w:tcW w:w="7120" w:type="dxa"/>
            <w:gridSpan w:val="3"/>
            <w:tcBorders>
              <w:left w:val="single" w:color="auto" w:sz="4" w:space="0"/>
            </w:tcBorders>
            <w:vAlign w:val="center"/>
          </w:tcPr>
          <w:p>
            <w:pPr>
              <w:tabs>
                <w:tab w:val="clear" w:pos="426"/>
              </w:tabs>
              <w:spacing w:line="240" w:lineRule="auto"/>
            </w:pPr>
            <w:r>
              <w:rPr>
                <w:rFonts w:hint="eastAsia"/>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pPr>
          </w:p>
        </w:tc>
        <w:tc>
          <w:tcPr>
            <w:tcW w:w="773" w:type="dxa"/>
            <w:vMerge w:val="continue"/>
            <w:tcBorders>
              <w:right w:val="single" w:color="auto" w:sz="4" w:space="0"/>
            </w:tcBorders>
            <w:vAlign w:val="center"/>
          </w:tcPr>
          <w:p>
            <w:pPr>
              <w:tabs>
                <w:tab w:val="clear" w:pos="426"/>
              </w:tabs>
              <w:spacing w:line="240" w:lineRule="auto"/>
            </w:pPr>
          </w:p>
        </w:tc>
        <w:tc>
          <w:tcPr>
            <w:tcW w:w="773" w:type="dxa"/>
            <w:tcBorders>
              <w:left w:val="single" w:color="auto" w:sz="4" w:space="0"/>
              <w:right w:val="single" w:color="auto" w:sz="4" w:space="0"/>
            </w:tcBorders>
            <w:vAlign w:val="center"/>
          </w:tcPr>
          <w:p>
            <w:pPr>
              <w:tabs>
                <w:tab w:val="clear" w:pos="426"/>
              </w:tabs>
              <w:spacing w:line="240" w:lineRule="auto"/>
              <w:jc w:val="center"/>
            </w:pPr>
            <w:r>
              <w:rPr>
                <w:rFonts w:hint="eastAsia"/>
              </w:rPr>
              <w:t>环境保护</w:t>
            </w:r>
          </w:p>
        </w:tc>
        <w:tc>
          <w:tcPr>
            <w:tcW w:w="7120" w:type="dxa"/>
            <w:gridSpan w:val="3"/>
            <w:tcBorders>
              <w:left w:val="single" w:color="auto" w:sz="4" w:space="0"/>
            </w:tcBorders>
            <w:vAlign w:val="center"/>
          </w:tcPr>
          <w:p>
            <w:pPr>
              <w:tabs>
                <w:tab w:val="clear" w:pos="426"/>
              </w:tabs>
              <w:spacing w:line="240" w:lineRule="auto"/>
            </w:pPr>
            <w:r>
              <w:rPr>
                <w:rFonts w:hint="eastAsia"/>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pPr>
          </w:p>
        </w:tc>
        <w:tc>
          <w:tcPr>
            <w:tcW w:w="773" w:type="dxa"/>
            <w:vMerge w:val="continue"/>
            <w:tcBorders>
              <w:right w:val="single" w:color="auto" w:sz="4" w:space="0"/>
            </w:tcBorders>
            <w:vAlign w:val="center"/>
          </w:tcPr>
          <w:p>
            <w:pPr>
              <w:tabs>
                <w:tab w:val="clear" w:pos="426"/>
              </w:tabs>
              <w:spacing w:line="240" w:lineRule="auto"/>
            </w:pPr>
          </w:p>
        </w:tc>
        <w:tc>
          <w:tcPr>
            <w:tcW w:w="773" w:type="dxa"/>
            <w:tcBorders>
              <w:left w:val="single" w:color="auto" w:sz="4" w:space="0"/>
              <w:right w:val="single" w:color="auto" w:sz="4" w:space="0"/>
            </w:tcBorders>
            <w:vAlign w:val="center"/>
          </w:tcPr>
          <w:p>
            <w:pPr>
              <w:tabs>
                <w:tab w:val="clear" w:pos="426"/>
              </w:tabs>
              <w:spacing w:line="240" w:lineRule="auto"/>
              <w:jc w:val="center"/>
            </w:pPr>
            <w:r>
              <w:rPr>
                <w:rFonts w:hint="eastAsia"/>
              </w:rPr>
              <w:t>其他</w:t>
            </w:r>
          </w:p>
        </w:tc>
        <w:tc>
          <w:tcPr>
            <w:tcW w:w="7120" w:type="dxa"/>
            <w:gridSpan w:val="3"/>
            <w:tcBorders>
              <w:left w:val="single" w:color="auto" w:sz="4" w:space="0"/>
            </w:tcBorders>
            <w:vAlign w:val="center"/>
          </w:tcPr>
          <w:p>
            <w:pPr>
              <w:tabs>
                <w:tab w:val="clear" w:pos="426"/>
              </w:tabs>
              <w:spacing w:line="240" w:lineRule="auto"/>
            </w:pPr>
            <w:r>
              <w:rPr>
                <w:rFonts w:hint="eastAsia"/>
              </w:rPr>
              <w:t xml:space="preserve">评价内容为：                    </w:t>
            </w:r>
          </w:p>
          <w:p>
            <w:pPr>
              <w:tabs>
                <w:tab w:val="clear" w:pos="426"/>
              </w:tabs>
              <w:spacing w:line="240" w:lineRule="auto"/>
            </w:pPr>
            <w:r>
              <w:rPr>
                <w:rFonts w:hint="eastAsia"/>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94" w:hRule="atLeast"/>
          <w:jc w:val="center"/>
        </w:trPr>
        <w:tc>
          <w:tcPr>
            <w:tcW w:w="1677" w:type="dxa"/>
            <w:gridSpan w:val="2"/>
            <w:vAlign w:val="center"/>
          </w:tcPr>
          <w:p>
            <w:pPr>
              <w:tabs>
                <w:tab w:val="clear" w:pos="426"/>
              </w:tabs>
              <w:spacing w:line="240" w:lineRule="auto"/>
            </w:pPr>
            <w:r>
              <w:rPr>
                <w:rFonts w:hint="eastAsia"/>
              </w:rPr>
              <w:t>具体情况说明</w:t>
            </w:r>
          </w:p>
        </w:tc>
        <w:tc>
          <w:tcPr>
            <w:tcW w:w="7893" w:type="dxa"/>
            <w:gridSpan w:val="4"/>
          </w:tcPr>
          <w:p>
            <w:pPr>
              <w:tabs>
                <w:tab w:val="clear" w:pos="426"/>
              </w:tabs>
              <w:spacing w:line="240" w:lineRule="auto"/>
            </w:pPr>
          </w:p>
          <w:p>
            <w:pPr>
              <w:tabs>
                <w:tab w:val="clear" w:pos="426"/>
              </w:tabs>
              <w:spacing w:line="240" w:lineRule="auto"/>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141" w:hRule="atLeast"/>
          <w:jc w:val="center"/>
        </w:trPr>
        <w:tc>
          <w:tcPr>
            <w:tcW w:w="1677" w:type="dxa"/>
            <w:gridSpan w:val="2"/>
            <w:vAlign w:val="center"/>
          </w:tcPr>
          <w:p>
            <w:pPr>
              <w:tabs>
                <w:tab w:val="clear" w:pos="426"/>
              </w:tabs>
              <w:spacing w:line="240" w:lineRule="auto"/>
            </w:pPr>
            <w:r>
              <w:rPr>
                <w:rFonts w:hint="eastAsia"/>
              </w:rPr>
              <w:t>采购单位意见</w:t>
            </w:r>
          </w:p>
          <w:p>
            <w:pPr>
              <w:tabs>
                <w:tab w:val="clear" w:pos="426"/>
              </w:tabs>
              <w:spacing w:line="240" w:lineRule="auto"/>
            </w:pPr>
            <w:r>
              <w:rPr>
                <w:rFonts w:hint="eastAsia"/>
              </w:rPr>
              <w:t>（公章）</w:t>
            </w:r>
          </w:p>
        </w:tc>
        <w:tc>
          <w:tcPr>
            <w:tcW w:w="7893" w:type="dxa"/>
            <w:gridSpan w:val="4"/>
            <w:vAlign w:val="center"/>
          </w:tcPr>
          <w:p>
            <w:pPr>
              <w:tabs>
                <w:tab w:val="clear" w:pos="426"/>
              </w:tabs>
              <w:spacing w:line="240" w:lineRule="auto"/>
            </w:pPr>
          </w:p>
          <w:p>
            <w:pPr>
              <w:tabs>
                <w:tab w:val="clear" w:pos="426"/>
              </w:tabs>
              <w:spacing w:line="240" w:lineRule="auto"/>
            </w:pPr>
          </w:p>
          <w:p>
            <w:pPr>
              <w:tabs>
                <w:tab w:val="clear" w:pos="426"/>
              </w:tabs>
              <w:spacing w:line="240" w:lineRule="auto"/>
            </w:pPr>
          </w:p>
          <w:p>
            <w:pPr>
              <w:tabs>
                <w:tab w:val="clear" w:pos="426"/>
              </w:tabs>
              <w:spacing w:line="240" w:lineRule="auto"/>
            </w:pPr>
            <w:r>
              <w:rPr>
                <w:rFonts w:hint="eastAsia"/>
              </w:rPr>
              <w:t>日期：   年   月   日</w:t>
            </w:r>
          </w:p>
        </w:tc>
      </w:tr>
    </w:tbl>
    <w:p>
      <w:pPr>
        <w:tabs>
          <w:tab w:val="clear" w:pos="426"/>
        </w:tabs>
      </w:pPr>
      <w:r>
        <w:rPr>
          <w:rFonts w:hint="eastAsia"/>
        </w:rPr>
        <w:t>说明：</w:t>
      </w:r>
    </w:p>
    <w:p>
      <w:pPr>
        <w:tabs>
          <w:tab w:val="clear" w:pos="426"/>
        </w:tabs>
        <w:ind w:firstLine="424" w:firstLineChars="202"/>
      </w:pPr>
      <w:r>
        <w:rPr>
          <w:rFonts w:hint="eastAsia"/>
        </w:rPr>
        <w:t>1、本表为采购单位向深圳市政府采购中心反映政府采购项目履约情况时所用；</w:t>
      </w:r>
    </w:p>
    <w:p>
      <w:pPr>
        <w:tabs>
          <w:tab w:val="clear" w:pos="426"/>
        </w:tabs>
        <w:ind w:firstLine="424" w:firstLineChars="202"/>
      </w:pPr>
      <w:r>
        <w:rPr>
          <w:rFonts w:hint="eastAsia"/>
        </w:rPr>
        <w:t>2、履约情况评价分为优、良、中、差四个等级，请在对应的框前打“√”，然后在“具体情况说明”一栏详细说明有关情况。</w:t>
      </w:r>
    </w:p>
    <w:p>
      <w:pPr>
        <w:pStyle w:val="33"/>
        <w:tabs>
          <w:tab w:val="clear" w:pos="426"/>
        </w:tabs>
      </w:pPr>
      <w:r>
        <w:br w:type="page"/>
      </w:r>
      <w:bookmarkStart w:id="37" w:name="_Toc3628662"/>
      <w:r>
        <w:rPr>
          <w:rFonts w:hint="eastAsia"/>
        </w:rPr>
        <w:t>第五章 投标文件格式、附件</w:t>
      </w:r>
      <w:bookmarkEnd w:id="35"/>
      <w:bookmarkEnd w:id="36"/>
      <w:bookmarkEnd w:id="37"/>
    </w:p>
    <w:p>
      <w:pPr>
        <w:tabs>
          <w:tab w:val="clear" w:pos="426"/>
        </w:tabs>
      </w:pPr>
      <w:r>
        <w:rPr>
          <w:rStyle w:val="59"/>
          <w:rFonts w:hint="eastAsia" w:ascii="宋体" w:eastAsia="宋体"/>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pPr>
        <w:tabs>
          <w:tab w:val="clear" w:pos="426"/>
        </w:tabs>
      </w:pPr>
    </w:p>
    <w:p>
      <w:pPr>
        <w:tabs>
          <w:tab w:val="clear" w:pos="426"/>
        </w:tabs>
      </w:pPr>
    </w:p>
    <w:p>
      <w:pPr>
        <w:tabs>
          <w:tab w:val="clear" w:pos="426"/>
        </w:tabs>
      </w:pPr>
      <w:r>
        <w:rPr>
          <w:rFonts w:hint="eastAsia"/>
        </w:rPr>
        <w:t>投标文件组成：</w:t>
      </w:r>
    </w:p>
    <w:p>
      <w:pPr>
        <w:tabs>
          <w:tab w:val="clear" w:pos="426"/>
        </w:tabs>
      </w:pPr>
    </w:p>
    <w:p>
      <w:pPr>
        <w:tabs>
          <w:tab w:val="clear" w:pos="426"/>
        </w:tabs>
        <w:spacing w:line="240" w:lineRule="auto"/>
      </w:pPr>
      <w:r>
        <w:rPr>
          <w:rFonts w:hint="eastAsia"/>
        </w:rPr>
        <w:t>密封袋封条格式</w:t>
      </w:r>
    </w:p>
    <w:p>
      <w:pPr>
        <w:tabs>
          <w:tab w:val="clear" w:pos="426"/>
        </w:tabs>
        <w:spacing w:line="240" w:lineRule="auto"/>
      </w:pPr>
      <w:r>
        <w:rPr>
          <w:rFonts w:hint="eastAsia"/>
        </w:rPr>
        <w:t>投标文件封面格式</w:t>
      </w:r>
    </w:p>
    <w:p>
      <w:pPr>
        <w:tabs>
          <w:tab w:val="clear" w:pos="426"/>
        </w:tabs>
        <w:spacing w:line="240" w:lineRule="auto"/>
      </w:pPr>
      <w:r>
        <w:rPr>
          <w:rFonts w:hint="eastAsia"/>
        </w:rPr>
        <w:t>目录（目录格式自定）</w:t>
      </w:r>
    </w:p>
    <w:p>
      <w:pPr>
        <w:tabs>
          <w:tab w:val="clear" w:pos="426"/>
        </w:tabs>
        <w:spacing w:line="240" w:lineRule="auto"/>
      </w:pPr>
      <w:r>
        <w:rPr>
          <w:rFonts w:hint="eastAsia"/>
        </w:rPr>
        <w:t>评标指引表</w:t>
      </w:r>
    </w:p>
    <w:p>
      <w:pPr>
        <w:pStyle w:val="280"/>
        <w:numPr>
          <w:ilvl w:val="0"/>
          <w:numId w:val="33"/>
        </w:numPr>
        <w:spacing w:line="240" w:lineRule="auto"/>
        <w:ind w:left="567" w:leftChars="270" w:firstLineChars="0"/>
      </w:pPr>
      <w:r>
        <w:rPr>
          <w:rFonts w:hint="eastAsia"/>
        </w:rPr>
        <w:t>投标函</w:t>
      </w:r>
    </w:p>
    <w:p>
      <w:pPr>
        <w:pStyle w:val="280"/>
        <w:numPr>
          <w:ilvl w:val="0"/>
          <w:numId w:val="33"/>
        </w:numPr>
        <w:spacing w:line="240" w:lineRule="auto"/>
        <w:ind w:left="567" w:leftChars="270" w:firstLineChars="0"/>
      </w:pPr>
      <w:r>
        <w:rPr>
          <w:rFonts w:hint="eastAsia"/>
        </w:rPr>
        <w:t>投标保证金缴纳承诺函</w:t>
      </w:r>
    </w:p>
    <w:p>
      <w:pPr>
        <w:pStyle w:val="280"/>
        <w:numPr>
          <w:ilvl w:val="0"/>
          <w:numId w:val="33"/>
        </w:numPr>
        <w:spacing w:line="240" w:lineRule="auto"/>
        <w:ind w:left="567" w:leftChars="270" w:firstLineChars="0"/>
      </w:pPr>
      <w:r>
        <w:rPr>
          <w:rFonts w:hint="eastAsia"/>
        </w:rPr>
        <w:t>政府采购投标及履约承诺函</w:t>
      </w:r>
    </w:p>
    <w:p>
      <w:pPr>
        <w:pStyle w:val="280"/>
        <w:numPr>
          <w:ilvl w:val="0"/>
          <w:numId w:val="33"/>
        </w:numPr>
        <w:spacing w:line="240" w:lineRule="auto"/>
        <w:ind w:left="567" w:leftChars="270" w:firstLineChars="0"/>
      </w:pPr>
      <w:r>
        <w:rPr>
          <w:rFonts w:hint="eastAsia"/>
        </w:rPr>
        <w:t>法定代表人授权委托书、法定代表人证明书</w:t>
      </w:r>
    </w:p>
    <w:p>
      <w:pPr>
        <w:pStyle w:val="280"/>
        <w:numPr>
          <w:ilvl w:val="0"/>
          <w:numId w:val="33"/>
        </w:numPr>
        <w:spacing w:line="240" w:lineRule="auto"/>
        <w:ind w:left="567" w:leftChars="270" w:firstLineChars="0"/>
      </w:pPr>
      <w:r>
        <w:rPr>
          <w:rFonts w:hint="eastAsia"/>
        </w:rPr>
        <w:t>投标人基本情况表</w:t>
      </w:r>
    </w:p>
    <w:p>
      <w:pPr>
        <w:pStyle w:val="280"/>
        <w:numPr>
          <w:ilvl w:val="0"/>
          <w:numId w:val="33"/>
        </w:numPr>
        <w:spacing w:line="240" w:lineRule="auto"/>
        <w:ind w:left="567" w:leftChars="270" w:firstLineChars="0"/>
      </w:pPr>
      <w:r>
        <w:rPr>
          <w:rFonts w:hint="eastAsia"/>
        </w:rPr>
        <w:t>开标一览表（报价表）</w:t>
      </w:r>
    </w:p>
    <w:p>
      <w:pPr>
        <w:pStyle w:val="280"/>
        <w:numPr>
          <w:ilvl w:val="0"/>
          <w:numId w:val="33"/>
        </w:numPr>
        <w:spacing w:line="240" w:lineRule="auto"/>
        <w:ind w:left="567" w:leftChars="270" w:firstLineChars="0"/>
      </w:pPr>
      <w:r>
        <w:rPr>
          <w:rFonts w:hint="eastAsia"/>
        </w:rPr>
        <w:t>货物清单</w:t>
      </w:r>
    </w:p>
    <w:p>
      <w:pPr>
        <w:pStyle w:val="280"/>
        <w:numPr>
          <w:ilvl w:val="0"/>
          <w:numId w:val="33"/>
        </w:numPr>
        <w:spacing w:line="240" w:lineRule="auto"/>
        <w:ind w:left="567" w:leftChars="270" w:firstLineChars="0"/>
      </w:pPr>
      <w:r>
        <w:rPr>
          <w:rFonts w:hint="eastAsia"/>
        </w:rPr>
        <w:t>投标分项报价表</w:t>
      </w:r>
    </w:p>
    <w:p>
      <w:pPr>
        <w:pStyle w:val="280"/>
        <w:numPr>
          <w:ilvl w:val="0"/>
          <w:numId w:val="33"/>
        </w:numPr>
        <w:spacing w:line="240" w:lineRule="auto"/>
        <w:ind w:left="567" w:leftChars="270" w:firstLineChars="0"/>
      </w:pPr>
      <w:r>
        <w:rPr>
          <w:rFonts w:hint="eastAsia"/>
        </w:rPr>
        <w:t>投标人资质情况</w:t>
      </w:r>
    </w:p>
    <w:p>
      <w:pPr>
        <w:pStyle w:val="280"/>
        <w:numPr>
          <w:ilvl w:val="0"/>
          <w:numId w:val="33"/>
        </w:numPr>
        <w:spacing w:line="240" w:lineRule="auto"/>
        <w:ind w:left="567" w:leftChars="270" w:firstLineChars="0"/>
      </w:pPr>
      <w:r>
        <w:rPr>
          <w:rFonts w:hint="eastAsia"/>
        </w:rPr>
        <w:t>产品授权或代理情况</w:t>
      </w:r>
    </w:p>
    <w:p>
      <w:pPr>
        <w:pStyle w:val="280"/>
        <w:numPr>
          <w:ilvl w:val="0"/>
          <w:numId w:val="33"/>
        </w:numPr>
        <w:spacing w:line="240" w:lineRule="auto"/>
        <w:ind w:left="567" w:leftChars="270" w:firstLineChars="0"/>
      </w:pPr>
      <w:r>
        <w:rPr>
          <w:rFonts w:hint="eastAsia"/>
        </w:rPr>
        <w:t>投标人业绩</w:t>
      </w:r>
    </w:p>
    <w:p>
      <w:pPr>
        <w:pStyle w:val="280"/>
        <w:numPr>
          <w:ilvl w:val="0"/>
          <w:numId w:val="33"/>
        </w:numPr>
        <w:spacing w:line="240" w:lineRule="auto"/>
        <w:ind w:left="567" w:leftChars="270" w:firstLineChars="0"/>
      </w:pPr>
      <w:r>
        <w:rPr>
          <w:rFonts w:hint="eastAsia"/>
        </w:rPr>
        <w:t>诚信档案</w:t>
      </w:r>
    </w:p>
    <w:p>
      <w:pPr>
        <w:pStyle w:val="280"/>
        <w:numPr>
          <w:ilvl w:val="0"/>
          <w:numId w:val="33"/>
        </w:numPr>
        <w:spacing w:line="240" w:lineRule="auto"/>
        <w:ind w:left="567" w:leftChars="270" w:firstLineChars="0"/>
      </w:pPr>
      <w:r>
        <w:rPr>
          <w:rFonts w:hint="eastAsia"/>
        </w:rPr>
        <w:t>技术规格偏离表</w:t>
      </w:r>
    </w:p>
    <w:p>
      <w:pPr>
        <w:pStyle w:val="280"/>
        <w:numPr>
          <w:ilvl w:val="0"/>
          <w:numId w:val="33"/>
        </w:numPr>
        <w:spacing w:line="240" w:lineRule="auto"/>
        <w:ind w:left="567" w:leftChars="270" w:firstLineChars="0"/>
      </w:pPr>
      <w:r>
        <w:rPr>
          <w:rFonts w:hint="eastAsia"/>
        </w:rPr>
        <w:t>现场勘察情况</w:t>
      </w:r>
    </w:p>
    <w:p>
      <w:pPr>
        <w:pStyle w:val="280"/>
        <w:numPr>
          <w:ilvl w:val="0"/>
          <w:numId w:val="33"/>
        </w:numPr>
        <w:spacing w:line="240" w:lineRule="auto"/>
        <w:ind w:left="567" w:leftChars="270" w:firstLineChars="0"/>
      </w:pPr>
      <w:r>
        <w:rPr>
          <w:rFonts w:hint="eastAsia"/>
        </w:rPr>
        <w:t>拟安排项目经理情况</w:t>
      </w:r>
    </w:p>
    <w:p>
      <w:pPr>
        <w:pStyle w:val="280"/>
        <w:numPr>
          <w:ilvl w:val="0"/>
          <w:numId w:val="33"/>
        </w:numPr>
        <w:spacing w:line="240" w:lineRule="auto"/>
        <w:ind w:left="567" w:leftChars="270" w:firstLineChars="0"/>
      </w:pPr>
      <w:r>
        <w:rPr>
          <w:rFonts w:hint="eastAsia"/>
        </w:rPr>
        <w:t>拟安排项目实施成员情况（项目经理除外）</w:t>
      </w:r>
    </w:p>
    <w:p>
      <w:pPr>
        <w:pStyle w:val="280"/>
        <w:numPr>
          <w:ilvl w:val="0"/>
          <w:numId w:val="33"/>
        </w:numPr>
        <w:spacing w:line="240" w:lineRule="auto"/>
        <w:ind w:left="567" w:leftChars="270" w:firstLineChars="0"/>
      </w:pPr>
      <w:r>
        <w:rPr>
          <w:rFonts w:hint="eastAsia"/>
        </w:rPr>
        <w:t>项目实施方案</w:t>
      </w:r>
    </w:p>
    <w:p>
      <w:pPr>
        <w:pStyle w:val="280"/>
        <w:numPr>
          <w:ilvl w:val="0"/>
          <w:numId w:val="33"/>
        </w:numPr>
        <w:spacing w:line="240" w:lineRule="auto"/>
        <w:ind w:left="567" w:leftChars="270" w:firstLineChars="0"/>
      </w:pPr>
      <w:r>
        <w:rPr>
          <w:rFonts w:hint="eastAsia"/>
        </w:rPr>
        <w:t>售后服务</w:t>
      </w:r>
    </w:p>
    <w:p>
      <w:pPr>
        <w:pStyle w:val="280"/>
        <w:numPr>
          <w:ilvl w:val="0"/>
          <w:numId w:val="33"/>
        </w:numPr>
        <w:spacing w:line="240" w:lineRule="auto"/>
        <w:ind w:left="567" w:leftChars="270" w:firstLineChars="0"/>
      </w:pPr>
      <w:r>
        <w:rPr>
          <w:rFonts w:hint="eastAsia"/>
        </w:rPr>
        <w:t>中小企业声明函及残疾人福利性单位声明函（或省级以上监狱管理局、戒毒管理局（含新疆生产建设兵团）出具的属于监狱企业的证明文件）（可选）</w:t>
      </w:r>
    </w:p>
    <w:p>
      <w:pPr>
        <w:pStyle w:val="280"/>
        <w:numPr>
          <w:ilvl w:val="0"/>
          <w:numId w:val="33"/>
        </w:numPr>
        <w:spacing w:line="240" w:lineRule="auto"/>
        <w:ind w:left="567" w:leftChars="270" w:firstLineChars="0"/>
      </w:pPr>
      <w:r>
        <w:rPr>
          <w:rFonts w:hint="eastAsia"/>
        </w:rPr>
        <w:t>招标代理服务费承诺书</w:t>
      </w:r>
    </w:p>
    <w:p>
      <w:pPr>
        <w:pStyle w:val="280"/>
        <w:numPr>
          <w:ilvl w:val="0"/>
          <w:numId w:val="33"/>
        </w:numPr>
        <w:spacing w:line="240" w:lineRule="auto"/>
        <w:ind w:left="567" w:leftChars="270" w:firstLineChars="0"/>
      </w:pPr>
      <w:r>
        <w:rPr>
          <w:rFonts w:hint="eastAsia"/>
        </w:rPr>
        <w:t>招标文件要求的其他内容及投标人认为需要加以说明的其他内容</w:t>
      </w:r>
    </w:p>
    <w:p>
      <w:pPr>
        <w:adjustRightInd/>
        <w:snapToGrid/>
        <w:spacing w:before="280" w:after="290" w:line="377" w:lineRule="auto"/>
        <w:jc w:val="center"/>
        <w:outlineLvl w:val="2"/>
        <w:rPr>
          <w:b/>
          <w:sz w:val="24"/>
        </w:rPr>
      </w:pPr>
      <w:r>
        <w:br w:type="page"/>
      </w:r>
      <w:r>
        <w:rPr>
          <w:rFonts w:hint="eastAsia"/>
          <w:b/>
          <w:sz w:val="24"/>
        </w:rPr>
        <w:t>密封袋封条格式</w:t>
      </w:r>
    </w:p>
    <w:p>
      <w:pPr>
        <w:tabs>
          <w:tab w:val="clear" w:pos="426"/>
        </w:tabs>
        <w:jc w:val="center"/>
        <w:rPr>
          <w:sz w:val="44"/>
          <w:szCs w:val="44"/>
          <w:u w:val="single"/>
        </w:rPr>
      </w:pPr>
    </w:p>
    <w:p>
      <w:pPr>
        <w:tabs>
          <w:tab w:val="clear" w:pos="426"/>
        </w:tabs>
        <w:jc w:val="center"/>
        <w:rPr>
          <w:sz w:val="44"/>
          <w:szCs w:val="44"/>
        </w:rPr>
      </w:pPr>
      <w:r>
        <w:rPr>
          <w:rFonts w:hint="eastAsia"/>
          <w:sz w:val="44"/>
          <w:szCs w:val="44"/>
          <w:highlight w:val="yellow"/>
          <w:u w:val="single"/>
        </w:rPr>
        <w:t>同心外国语学校二期电教平台采购</w:t>
      </w:r>
      <w:r>
        <w:rPr>
          <w:rFonts w:hint="eastAsia"/>
          <w:sz w:val="44"/>
          <w:szCs w:val="44"/>
        </w:rPr>
        <w:t>项目</w:t>
      </w:r>
    </w:p>
    <w:p>
      <w:pPr>
        <w:tabs>
          <w:tab w:val="clear" w:pos="426"/>
        </w:tabs>
        <w:jc w:val="center"/>
      </w:pPr>
    </w:p>
    <w:p>
      <w:pPr>
        <w:tabs>
          <w:tab w:val="clear" w:pos="426"/>
        </w:tabs>
        <w:jc w:val="center"/>
      </w:pPr>
    </w:p>
    <w:p>
      <w:pPr>
        <w:tabs>
          <w:tab w:val="clear" w:pos="426"/>
        </w:tabs>
        <w:jc w:val="center"/>
        <w:rPr>
          <w:sz w:val="52"/>
          <w:szCs w:val="52"/>
        </w:rPr>
      </w:pPr>
      <w:r>
        <w:rPr>
          <w:rFonts w:hint="eastAsia"/>
          <w:sz w:val="52"/>
          <w:szCs w:val="52"/>
        </w:rPr>
        <w:t>□投标文件</w:t>
      </w:r>
    </w:p>
    <w:p>
      <w:pPr>
        <w:tabs>
          <w:tab w:val="clear" w:pos="426"/>
        </w:tabs>
        <w:jc w:val="center"/>
        <w:rPr>
          <w:sz w:val="52"/>
          <w:szCs w:val="52"/>
        </w:rPr>
      </w:pPr>
      <w:r>
        <w:rPr>
          <w:rFonts w:hint="eastAsia"/>
          <w:sz w:val="52"/>
          <w:szCs w:val="52"/>
        </w:rPr>
        <w:t>□开标信封</w:t>
      </w:r>
    </w:p>
    <w:p>
      <w:pPr>
        <w:tabs>
          <w:tab w:val="clear" w:pos="426"/>
        </w:tabs>
      </w:pPr>
    </w:p>
    <w:p>
      <w:pPr>
        <w:tabs>
          <w:tab w:val="clear" w:pos="426"/>
        </w:tabs>
      </w:pPr>
    </w:p>
    <w:p>
      <w:pPr>
        <w:tabs>
          <w:tab w:val="clear" w:pos="426"/>
        </w:tabs>
      </w:pPr>
    </w:p>
    <w:p>
      <w:pPr>
        <w:tabs>
          <w:tab w:val="clear" w:pos="426"/>
        </w:tabs>
      </w:pPr>
    </w:p>
    <w:p>
      <w:pPr>
        <w:tabs>
          <w:tab w:val="clear" w:pos="426"/>
        </w:tabs>
      </w:pPr>
    </w:p>
    <w:p>
      <w:pPr>
        <w:tabs>
          <w:tab w:val="clear" w:pos="426"/>
        </w:tabs>
      </w:pPr>
    </w:p>
    <w:p>
      <w:pPr>
        <w:tabs>
          <w:tab w:val="clear" w:pos="426"/>
        </w:tabs>
      </w:pPr>
    </w:p>
    <w:p>
      <w:pPr>
        <w:tabs>
          <w:tab w:val="clear" w:pos="426"/>
        </w:tabs>
        <w:ind w:left="708" w:leftChars="337" w:right="706" w:rightChars="336"/>
        <w:rPr>
          <w:sz w:val="28"/>
          <w:szCs w:val="28"/>
        </w:rPr>
      </w:pPr>
      <w:r>
        <w:rPr>
          <w:rFonts w:hint="eastAsia"/>
          <w:sz w:val="28"/>
          <w:szCs w:val="28"/>
        </w:rPr>
        <w:t>项目编号：</w:t>
      </w:r>
      <w:r>
        <w:rPr>
          <w:rFonts w:hint="eastAsia"/>
          <w:sz w:val="28"/>
          <w:szCs w:val="28"/>
          <w:u w:val="single"/>
        </w:rPr>
        <w:t xml:space="preserve">                                              </w:t>
      </w:r>
    </w:p>
    <w:p>
      <w:pPr>
        <w:tabs>
          <w:tab w:val="clear" w:pos="426"/>
        </w:tabs>
        <w:ind w:left="708" w:leftChars="337"/>
        <w:rPr>
          <w:sz w:val="28"/>
          <w:szCs w:val="28"/>
        </w:rPr>
      </w:pPr>
      <w:r>
        <w:rPr>
          <w:rFonts w:hint="eastAsia"/>
          <w:sz w:val="28"/>
          <w:szCs w:val="28"/>
        </w:rPr>
        <w:t>投标人名称（公章)：</w:t>
      </w:r>
      <w:r>
        <w:rPr>
          <w:rFonts w:hint="eastAsia"/>
          <w:sz w:val="28"/>
          <w:szCs w:val="28"/>
          <w:u w:val="single"/>
        </w:rPr>
        <w:t xml:space="preserve">                                     </w:t>
      </w:r>
    </w:p>
    <w:p>
      <w:pPr>
        <w:tabs>
          <w:tab w:val="clear" w:pos="426"/>
        </w:tabs>
        <w:ind w:left="708" w:leftChars="337"/>
        <w:rPr>
          <w:sz w:val="28"/>
          <w:szCs w:val="28"/>
        </w:rPr>
      </w:pPr>
      <w:r>
        <w:rPr>
          <w:rFonts w:hint="eastAsia"/>
          <w:sz w:val="28"/>
          <w:szCs w:val="28"/>
        </w:rPr>
        <w:t>投标人代表（签名）：</w:t>
      </w:r>
      <w:r>
        <w:rPr>
          <w:rFonts w:hint="eastAsia"/>
          <w:sz w:val="28"/>
          <w:szCs w:val="28"/>
          <w:u w:val="single"/>
        </w:rPr>
        <w:t xml:space="preserve">                                    </w:t>
      </w:r>
    </w:p>
    <w:p>
      <w:pPr>
        <w:tabs>
          <w:tab w:val="clear" w:pos="426"/>
        </w:tabs>
        <w:ind w:left="708" w:leftChars="337"/>
        <w:rPr>
          <w:sz w:val="28"/>
          <w:szCs w:val="28"/>
        </w:rPr>
      </w:pPr>
      <w:r>
        <w:rPr>
          <w:rFonts w:hint="eastAsia"/>
          <w:sz w:val="28"/>
          <w:szCs w:val="28"/>
        </w:rPr>
        <w:t>投标截止日期：</w:t>
      </w:r>
      <w:r>
        <w:rPr>
          <w:rFonts w:hint="eastAsia"/>
          <w:sz w:val="28"/>
          <w:szCs w:val="28"/>
          <w:u w:val="single"/>
        </w:rPr>
        <w:t xml:space="preserve">      年   月   日</w:t>
      </w:r>
      <w:r>
        <w:rPr>
          <w:sz w:val="28"/>
          <w:szCs w:val="28"/>
          <w:u w:val="single"/>
        </w:rPr>
        <w:t xml:space="preserve"> </w:t>
      </w:r>
      <w:r>
        <w:rPr>
          <w:rFonts w:hint="eastAsia"/>
          <w:sz w:val="28"/>
          <w:szCs w:val="28"/>
          <w:u w:val="single"/>
        </w:rPr>
        <w:t xml:space="preserve"> </w:t>
      </w:r>
      <w:r>
        <w:rPr>
          <w:sz w:val="28"/>
          <w:szCs w:val="28"/>
          <w:u w:val="single"/>
        </w:rPr>
        <w:t xml:space="preserve"> 时 </w:t>
      </w:r>
      <w:r>
        <w:rPr>
          <w:rFonts w:hint="eastAsia"/>
          <w:sz w:val="28"/>
          <w:szCs w:val="28"/>
          <w:u w:val="single"/>
        </w:rPr>
        <w:t xml:space="preserve"> </w:t>
      </w:r>
      <w:r>
        <w:rPr>
          <w:sz w:val="28"/>
          <w:szCs w:val="28"/>
          <w:u w:val="single"/>
        </w:rPr>
        <w:t xml:space="preserve"> 分</w:t>
      </w:r>
      <w:r>
        <w:rPr>
          <w:rFonts w:hint="eastAsia"/>
          <w:sz w:val="28"/>
          <w:szCs w:val="28"/>
          <w:u w:val="single"/>
        </w:rPr>
        <w:t>（</w:t>
      </w:r>
      <w:r>
        <w:rPr>
          <w:sz w:val="28"/>
          <w:szCs w:val="28"/>
          <w:u w:val="single"/>
        </w:rPr>
        <w:t>前不得开封</w:t>
      </w:r>
      <w:r>
        <w:rPr>
          <w:rFonts w:hint="eastAsia"/>
          <w:sz w:val="28"/>
          <w:szCs w:val="28"/>
          <w:u w:val="single"/>
        </w:rPr>
        <w:t>）</w:t>
      </w:r>
    </w:p>
    <w:p>
      <w:pPr>
        <w:adjustRightInd/>
        <w:snapToGrid/>
        <w:spacing w:before="280" w:after="290" w:line="377" w:lineRule="auto"/>
        <w:jc w:val="center"/>
        <w:outlineLvl w:val="2"/>
        <w:rPr>
          <w:b/>
          <w:sz w:val="24"/>
        </w:rPr>
      </w:pPr>
      <w:r>
        <w:br w:type="page"/>
      </w:r>
      <w:r>
        <w:rPr>
          <w:rFonts w:hint="eastAsia"/>
          <w:b/>
          <w:sz w:val="24"/>
        </w:rPr>
        <w:t>投标文件封面格式</w:t>
      </w:r>
    </w:p>
    <w:p>
      <w:pPr>
        <w:tabs>
          <w:tab w:val="clear" w:pos="426"/>
        </w:tabs>
        <w:jc w:val="right"/>
        <w:rPr>
          <w:sz w:val="44"/>
          <w:szCs w:val="44"/>
          <w:u w:val="single"/>
        </w:rPr>
      </w:pPr>
      <w:r>
        <w:rPr>
          <w:rFonts w:hint="eastAsia"/>
          <w:sz w:val="44"/>
          <w:szCs w:val="44"/>
          <w:u w:val="single"/>
        </w:rPr>
        <w:t>正/副本</w:t>
      </w:r>
    </w:p>
    <w:p>
      <w:pPr>
        <w:tabs>
          <w:tab w:val="clear" w:pos="426"/>
        </w:tabs>
        <w:jc w:val="center"/>
        <w:rPr>
          <w:sz w:val="44"/>
          <w:szCs w:val="44"/>
          <w:u w:val="single"/>
        </w:rPr>
      </w:pPr>
    </w:p>
    <w:p>
      <w:pPr>
        <w:tabs>
          <w:tab w:val="clear" w:pos="426"/>
        </w:tabs>
        <w:jc w:val="center"/>
        <w:rPr>
          <w:sz w:val="44"/>
          <w:szCs w:val="44"/>
        </w:rPr>
      </w:pPr>
      <w:r>
        <w:rPr>
          <w:rFonts w:hint="eastAsia"/>
          <w:sz w:val="44"/>
          <w:szCs w:val="44"/>
          <w:highlight w:val="yellow"/>
          <w:u w:val="single"/>
        </w:rPr>
        <w:t>同心外国语学校二期电教平台采购</w:t>
      </w:r>
      <w:r>
        <w:rPr>
          <w:rFonts w:hint="eastAsia"/>
          <w:sz w:val="44"/>
          <w:szCs w:val="44"/>
        </w:rPr>
        <w:t>项目</w:t>
      </w:r>
    </w:p>
    <w:p>
      <w:pPr>
        <w:tabs>
          <w:tab w:val="clear" w:pos="426"/>
        </w:tabs>
        <w:jc w:val="center"/>
      </w:pPr>
    </w:p>
    <w:p>
      <w:pPr>
        <w:tabs>
          <w:tab w:val="clear" w:pos="426"/>
        </w:tabs>
        <w:jc w:val="center"/>
      </w:pPr>
    </w:p>
    <w:p>
      <w:pPr>
        <w:tabs>
          <w:tab w:val="clear" w:pos="426"/>
        </w:tabs>
        <w:jc w:val="center"/>
        <w:rPr>
          <w:sz w:val="52"/>
          <w:szCs w:val="52"/>
        </w:rPr>
      </w:pPr>
      <w:r>
        <w:rPr>
          <w:rFonts w:hint="eastAsia"/>
          <w:sz w:val="52"/>
          <w:szCs w:val="52"/>
        </w:rPr>
        <w:t>投标文件</w:t>
      </w:r>
    </w:p>
    <w:p>
      <w:pPr>
        <w:tabs>
          <w:tab w:val="clear" w:pos="426"/>
        </w:tabs>
        <w:rPr>
          <w:sz w:val="52"/>
          <w:szCs w:val="52"/>
        </w:rPr>
      </w:pPr>
    </w:p>
    <w:p>
      <w:pPr>
        <w:tabs>
          <w:tab w:val="clear" w:pos="426"/>
        </w:tabs>
      </w:pPr>
    </w:p>
    <w:p>
      <w:pPr>
        <w:tabs>
          <w:tab w:val="clear" w:pos="426"/>
        </w:tabs>
      </w:pPr>
    </w:p>
    <w:p>
      <w:pPr>
        <w:tabs>
          <w:tab w:val="clear" w:pos="426"/>
        </w:tabs>
      </w:pPr>
    </w:p>
    <w:p>
      <w:pPr>
        <w:tabs>
          <w:tab w:val="clear" w:pos="426"/>
        </w:tabs>
      </w:pPr>
    </w:p>
    <w:p>
      <w:pPr>
        <w:tabs>
          <w:tab w:val="clear" w:pos="426"/>
        </w:tabs>
      </w:pPr>
    </w:p>
    <w:p>
      <w:pPr>
        <w:tabs>
          <w:tab w:val="clear" w:pos="426"/>
        </w:tabs>
      </w:pPr>
    </w:p>
    <w:p>
      <w:pPr>
        <w:tabs>
          <w:tab w:val="clear" w:pos="426"/>
        </w:tabs>
      </w:pPr>
    </w:p>
    <w:p>
      <w:pPr>
        <w:tabs>
          <w:tab w:val="clear" w:pos="426"/>
        </w:tabs>
        <w:ind w:left="1275" w:leftChars="607"/>
        <w:rPr>
          <w:sz w:val="28"/>
          <w:szCs w:val="28"/>
        </w:rPr>
      </w:pPr>
      <w:r>
        <w:rPr>
          <w:rFonts w:hint="eastAsia"/>
          <w:sz w:val="28"/>
          <w:szCs w:val="28"/>
        </w:rPr>
        <w:t>项目编号：</w:t>
      </w:r>
      <w:r>
        <w:rPr>
          <w:rFonts w:hint="eastAsia"/>
          <w:sz w:val="28"/>
          <w:szCs w:val="28"/>
          <w:u w:val="single"/>
        </w:rPr>
        <w:t xml:space="preserve">                                   </w:t>
      </w:r>
    </w:p>
    <w:p>
      <w:pPr>
        <w:tabs>
          <w:tab w:val="clear" w:pos="426"/>
        </w:tabs>
        <w:ind w:left="1275" w:leftChars="607"/>
        <w:rPr>
          <w:sz w:val="28"/>
          <w:szCs w:val="28"/>
        </w:rPr>
      </w:pPr>
      <w:r>
        <w:rPr>
          <w:rFonts w:hint="eastAsia"/>
          <w:sz w:val="28"/>
          <w:szCs w:val="28"/>
        </w:rPr>
        <w:t>投标人名称（公章)：</w:t>
      </w:r>
      <w:r>
        <w:rPr>
          <w:rFonts w:hint="eastAsia"/>
          <w:sz w:val="28"/>
          <w:szCs w:val="28"/>
          <w:u w:val="single"/>
        </w:rPr>
        <w:t xml:space="preserve">                          </w:t>
      </w:r>
    </w:p>
    <w:p>
      <w:pPr>
        <w:tabs>
          <w:tab w:val="clear" w:pos="426"/>
        </w:tabs>
        <w:ind w:left="1275" w:leftChars="607"/>
        <w:rPr>
          <w:sz w:val="28"/>
          <w:szCs w:val="28"/>
        </w:rPr>
      </w:pPr>
      <w:r>
        <w:rPr>
          <w:rFonts w:hint="eastAsia"/>
          <w:sz w:val="28"/>
          <w:szCs w:val="28"/>
        </w:rPr>
        <w:t>投标人代表（签名）：</w:t>
      </w:r>
      <w:r>
        <w:rPr>
          <w:rFonts w:hint="eastAsia"/>
          <w:sz w:val="28"/>
          <w:szCs w:val="28"/>
          <w:u w:val="single"/>
        </w:rPr>
        <w:t xml:space="preserve">                         </w:t>
      </w:r>
    </w:p>
    <w:p>
      <w:pPr>
        <w:tabs>
          <w:tab w:val="clear" w:pos="426"/>
        </w:tabs>
        <w:ind w:left="1275" w:leftChars="607"/>
        <w:rPr>
          <w:sz w:val="28"/>
          <w:szCs w:val="28"/>
        </w:rPr>
      </w:pPr>
      <w:r>
        <w:rPr>
          <w:rFonts w:hint="eastAsia"/>
          <w:sz w:val="28"/>
          <w:szCs w:val="28"/>
        </w:rPr>
        <w:t>投标日期：</w:t>
      </w:r>
      <w:r>
        <w:rPr>
          <w:rFonts w:hint="eastAsia"/>
          <w:sz w:val="28"/>
          <w:szCs w:val="28"/>
          <w:u w:val="single"/>
        </w:rPr>
        <w:t xml:space="preserve">                  年     月      日</w:t>
      </w:r>
    </w:p>
    <w:p>
      <w:pPr>
        <w:tabs>
          <w:tab w:val="clear" w:pos="426"/>
        </w:tabs>
      </w:pPr>
    </w:p>
    <w:p>
      <w:pPr>
        <w:adjustRightInd/>
        <w:snapToGrid/>
        <w:spacing w:before="280" w:after="290" w:line="377" w:lineRule="auto"/>
        <w:jc w:val="center"/>
        <w:outlineLvl w:val="2"/>
        <w:rPr>
          <w:b/>
          <w:sz w:val="24"/>
        </w:rPr>
      </w:pPr>
      <w:r>
        <w:br w:type="page"/>
      </w:r>
      <w:r>
        <w:rPr>
          <w:rFonts w:hint="eastAsia"/>
          <w:b/>
          <w:sz w:val="24"/>
        </w:rPr>
        <w:t>投标文件目录（目录格式自定）</w:t>
      </w:r>
    </w:p>
    <w:p>
      <w:pPr>
        <w:tabs>
          <w:tab w:val="clear" w:pos="426"/>
        </w:tabs>
      </w:pPr>
      <w:r>
        <w:rPr>
          <w:rFonts w:hint="eastAsia"/>
        </w:rPr>
        <w:t>按照招标文件的要求编制投标文件相应内容，请标明各部分内容的页码。</w:t>
      </w:r>
    </w:p>
    <w:p>
      <w:pPr>
        <w:tabs>
          <w:tab w:val="clear" w:pos="426"/>
        </w:tabs>
      </w:pPr>
    </w:p>
    <w:p>
      <w:pPr>
        <w:tabs>
          <w:tab w:val="clear" w:pos="426"/>
        </w:tabs>
      </w:pPr>
    </w:p>
    <w:p>
      <w:pPr>
        <w:tabs>
          <w:tab w:val="clear" w:pos="426"/>
        </w:tabs>
        <w:adjustRightInd/>
        <w:snapToGrid/>
        <w:spacing w:before="280" w:after="290" w:line="377" w:lineRule="auto"/>
        <w:jc w:val="center"/>
        <w:outlineLvl w:val="2"/>
        <w:rPr>
          <w:b/>
          <w:sz w:val="24"/>
        </w:rPr>
      </w:pPr>
      <w:r>
        <w:br w:type="page"/>
      </w:r>
      <w:r>
        <w:rPr>
          <w:rFonts w:hint="eastAsia"/>
          <w:b/>
          <w:sz w:val="24"/>
        </w:rPr>
        <w:t>评标指引表</w:t>
      </w:r>
    </w:p>
    <w:p>
      <w:pPr>
        <w:tabs>
          <w:tab w:val="clear" w:pos="426"/>
        </w:tabs>
        <w:jc w:val="center"/>
        <w:rPr>
          <w:b/>
        </w:rPr>
      </w:pPr>
      <w:r>
        <w:rPr>
          <w:rFonts w:hint="eastAsia"/>
          <w:b/>
        </w:rPr>
        <w:t>（置于投标文件的首页）</w:t>
      </w:r>
    </w:p>
    <w:p>
      <w:pPr>
        <w:tabs>
          <w:tab w:val="clear" w:pos="426"/>
        </w:tabs>
        <w:ind w:firstLine="420" w:firstLineChars="200"/>
      </w:pPr>
      <w:r>
        <w:rPr>
          <w:rFonts w:hint="eastAsia"/>
          <w:szCs w:val="21"/>
        </w:rPr>
        <w:t>为方便参与该项目的评委专家的评标，快速找到评标事项与该项目投标文件所对应的位置，请投标人参照下表格式，编制本项目评标指引表。</w:t>
      </w:r>
    </w:p>
    <w:p>
      <w:pPr>
        <w:pStyle w:val="8"/>
        <w:tabs>
          <w:tab w:val="clear" w:pos="426"/>
        </w:tabs>
        <w:ind w:firstLine="0"/>
      </w:pPr>
      <w:r>
        <w:rPr>
          <w:rFonts w:hint="eastAsia"/>
        </w:rPr>
        <w:t>项目名称：</w:t>
      </w:r>
    </w:p>
    <w:p>
      <w:pPr>
        <w:pStyle w:val="8"/>
        <w:tabs>
          <w:tab w:val="clear" w:pos="426"/>
        </w:tabs>
        <w:ind w:firstLine="0"/>
      </w:pPr>
      <w:r>
        <w:rPr>
          <w:rFonts w:hint="eastAsia"/>
        </w:rPr>
        <w:t>项目编号：</w:t>
      </w:r>
    </w:p>
    <w:p>
      <w:pPr>
        <w:tabs>
          <w:tab w:val="clear" w:pos="426"/>
        </w:tabs>
        <w:jc w:val="center"/>
        <w:rPr>
          <w:b/>
        </w:rPr>
      </w:pPr>
      <w:r>
        <w:rPr>
          <w:rFonts w:hint="eastAsia"/>
          <w:b/>
        </w:rPr>
        <w:t>项目评标指引表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46"/>
        <w:gridCol w:w="3857"/>
        <w:gridCol w:w="1642"/>
        <w:gridCol w:w="98"/>
        <w:gridCol w:w="1365"/>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rPr>
            </w:pPr>
            <w:r>
              <w:rPr>
                <w:rFonts w:hint="eastAsia"/>
                <w:b/>
              </w:rPr>
              <w:t>一、资格性审查指引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rPr>
            </w:pPr>
            <w:r>
              <w:rPr>
                <w:rFonts w:hint="eastAsia"/>
                <w:b/>
              </w:rPr>
              <w:t>序号</w:t>
            </w:r>
          </w:p>
        </w:tc>
        <w:tc>
          <w:tcPr>
            <w:tcW w:w="4203" w:type="dxa"/>
            <w:gridSpan w:val="2"/>
            <w:vAlign w:val="center"/>
          </w:tcPr>
          <w:p>
            <w:pPr>
              <w:tabs>
                <w:tab w:val="clear" w:pos="426"/>
              </w:tabs>
              <w:adjustRightInd/>
              <w:snapToGrid/>
              <w:spacing w:line="240" w:lineRule="auto"/>
              <w:jc w:val="center"/>
              <w:rPr>
                <w:b/>
              </w:rPr>
            </w:pPr>
            <w:r>
              <w:rPr>
                <w:rFonts w:hint="eastAsia"/>
                <w:b/>
              </w:rPr>
              <w:t>资格性审查项目</w:t>
            </w:r>
          </w:p>
        </w:tc>
        <w:tc>
          <w:tcPr>
            <w:tcW w:w="3105" w:type="dxa"/>
            <w:gridSpan w:val="3"/>
            <w:vAlign w:val="center"/>
          </w:tcPr>
          <w:p>
            <w:pPr>
              <w:tabs>
                <w:tab w:val="clear" w:pos="426"/>
              </w:tabs>
              <w:adjustRightInd/>
              <w:snapToGrid/>
              <w:spacing w:line="240" w:lineRule="auto"/>
              <w:jc w:val="center"/>
              <w:rPr>
                <w:b/>
              </w:rPr>
            </w:pPr>
            <w:r>
              <w:rPr>
                <w:rFonts w:hint="eastAsia"/>
                <w:b/>
              </w:rPr>
              <w:t>证明文件</w:t>
            </w:r>
          </w:p>
        </w:tc>
        <w:tc>
          <w:tcPr>
            <w:tcW w:w="1397" w:type="dxa"/>
            <w:vAlign w:val="center"/>
          </w:tcPr>
          <w:p>
            <w:pPr>
              <w:tabs>
                <w:tab w:val="clear" w:pos="426"/>
              </w:tabs>
              <w:adjustRightInd/>
              <w:snapToGrid/>
              <w:spacing w:line="240" w:lineRule="auto"/>
              <w:jc w:val="center"/>
              <w:rPr>
                <w:b/>
              </w:rPr>
            </w:pPr>
            <w:r>
              <w:rPr>
                <w:rFonts w:hint="eastAsia"/>
                <w:b/>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restart"/>
            <w:vAlign w:val="center"/>
          </w:tcPr>
          <w:p>
            <w:pPr>
              <w:tabs>
                <w:tab w:val="clear" w:pos="426"/>
              </w:tabs>
              <w:adjustRightInd/>
              <w:snapToGrid/>
              <w:spacing w:line="240" w:lineRule="auto"/>
              <w:jc w:val="center"/>
              <w:rPr>
                <w:b/>
              </w:rPr>
            </w:pPr>
            <w:r>
              <w:rPr>
                <w:rFonts w:hint="eastAsia"/>
                <w:b/>
              </w:rPr>
              <w:t>1</w:t>
            </w:r>
          </w:p>
        </w:tc>
        <w:tc>
          <w:tcPr>
            <w:tcW w:w="4203" w:type="dxa"/>
            <w:gridSpan w:val="2"/>
            <w:vMerge w:val="restart"/>
            <w:vAlign w:val="center"/>
          </w:tcPr>
          <w:p>
            <w:pPr>
              <w:tabs>
                <w:tab w:val="clear" w:pos="426"/>
              </w:tabs>
              <w:adjustRightInd/>
              <w:snapToGrid/>
              <w:spacing w:line="240" w:lineRule="auto"/>
              <w:jc w:val="center"/>
              <w:rPr>
                <w:b/>
              </w:rPr>
            </w:pPr>
            <w:r>
              <w:rPr>
                <w:rFonts w:hint="eastAsia"/>
                <w:color w:val="000000"/>
              </w:rPr>
              <w:t>投标人资质要求</w:t>
            </w:r>
          </w:p>
        </w:tc>
        <w:tc>
          <w:tcPr>
            <w:tcW w:w="3105" w:type="dxa"/>
            <w:gridSpan w:val="3"/>
            <w:vAlign w:val="center"/>
          </w:tcPr>
          <w:p>
            <w:pPr>
              <w:tabs>
                <w:tab w:val="clear" w:pos="426"/>
              </w:tabs>
              <w:adjustRightInd/>
              <w:snapToGrid/>
              <w:spacing w:line="240" w:lineRule="auto"/>
              <w:jc w:val="center"/>
            </w:pPr>
            <w:r>
              <w:rPr>
                <w:rFonts w:hint="eastAsia"/>
              </w:rPr>
              <w:t>营业执照</w:t>
            </w:r>
          </w:p>
        </w:tc>
        <w:tc>
          <w:tcPr>
            <w:tcW w:w="1397" w:type="dxa"/>
            <w:shd w:val="clear" w:color="auto" w:fill="auto"/>
            <w:vAlign w:val="center"/>
          </w:tcPr>
          <w:p>
            <w:pPr>
              <w:tabs>
                <w:tab w:val="clear" w:pos="426"/>
              </w:tabs>
              <w:adjustRightInd/>
              <w:snapToGrid/>
              <w:spacing w:line="240" w:lineRule="auto"/>
              <w:jc w:val="center"/>
              <w:rPr>
                <w:b/>
              </w:rPr>
            </w:pPr>
            <w:r>
              <w:rPr>
                <w:rFonts w:hint="eastAsia"/>
                <w:b/>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rPr>
            </w:pPr>
          </w:p>
        </w:tc>
        <w:tc>
          <w:tcPr>
            <w:tcW w:w="4203" w:type="dxa"/>
            <w:gridSpan w:val="2"/>
            <w:vMerge w:val="continue"/>
            <w:vAlign w:val="center"/>
          </w:tcPr>
          <w:p>
            <w:pPr>
              <w:tabs>
                <w:tab w:val="clear" w:pos="426"/>
              </w:tabs>
              <w:adjustRightInd/>
              <w:snapToGrid/>
              <w:spacing w:line="240" w:lineRule="auto"/>
              <w:jc w:val="center"/>
              <w:rPr>
                <w:color w:val="000000"/>
              </w:rPr>
            </w:pPr>
          </w:p>
        </w:tc>
        <w:tc>
          <w:tcPr>
            <w:tcW w:w="3105" w:type="dxa"/>
            <w:gridSpan w:val="3"/>
            <w:vAlign w:val="center"/>
          </w:tcPr>
          <w:p>
            <w:pPr>
              <w:tabs>
                <w:tab w:val="clear" w:pos="426"/>
              </w:tabs>
              <w:adjustRightInd/>
              <w:snapToGrid/>
              <w:spacing w:line="240" w:lineRule="auto"/>
              <w:jc w:val="center"/>
            </w:pPr>
            <w:r>
              <w:rPr>
                <w:rFonts w:hint="eastAsia"/>
              </w:rPr>
              <w:t>……</w:t>
            </w:r>
          </w:p>
        </w:tc>
        <w:tc>
          <w:tcPr>
            <w:tcW w:w="1397" w:type="dxa"/>
            <w:shd w:val="clear" w:color="auto" w:fill="auto"/>
            <w:vAlign w:val="center"/>
          </w:tcPr>
          <w:p>
            <w:pPr>
              <w:tabs>
                <w:tab w:val="clear" w:pos="426"/>
              </w:tabs>
              <w:adjustRightInd/>
              <w:snapToGrid/>
              <w:spacing w:line="240" w:lineRule="auto"/>
              <w:jc w:val="center"/>
              <w:rPr>
                <w:b/>
              </w:rPr>
            </w:pP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rPr>
            </w:pPr>
          </w:p>
        </w:tc>
        <w:tc>
          <w:tcPr>
            <w:tcW w:w="4203" w:type="dxa"/>
            <w:gridSpan w:val="2"/>
            <w:vMerge w:val="continue"/>
            <w:vAlign w:val="center"/>
          </w:tcPr>
          <w:p>
            <w:pPr>
              <w:tabs>
                <w:tab w:val="clear" w:pos="426"/>
              </w:tabs>
              <w:adjustRightInd/>
              <w:snapToGrid/>
              <w:spacing w:line="240" w:lineRule="auto"/>
              <w:jc w:val="center"/>
              <w:rPr>
                <w:color w:val="000000"/>
              </w:rPr>
            </w:pPr>
          </w:p>
        </w:tc>
        <w:tc>
          <w:tcPr>
            <w:tcW w:w="3105" w:type="dxa"/>
            <w:gridSpan w:val="3"/>
            <w:vAlign w:val="center"/>
          </w:tcPr>
          <w:p>
            <w:pPr>
              <w:tabs>
                <w:tab w:val="clear" w:pos="426"/>
              </w:tabs>
              <w:adjustRightInd/>
              <w:snapToGrid/>
              <w:spacing w:line="240" w:lineRule="auto"/>
              <w:jc w:val="center"/>
            </w:pPr>
            <w:r>
              <w:rPr>
                <w:rFonts w:hint="eastAsia"/>
              </w:rPr>
              <w:t>……</w:t>
            </w:r>
          </w:p>
        </w:tc>
        <w:tc>
          <w:tcPr>
            <w:tcW w:w="1397" w:type="dxa"/>
            <w:vAlign w:val="center"/>
          </w:tcPr>
          <w:p>
            <w:pPr>
              <w:tabs>
                <w:tab w:val="clear" w:pos="426"/>
              </w:tabs>
              <w:adjustRightInd/>
              <w:snapToGrid/>
              <w:spacing w:line="240" w:lineRule="auto"/>
              <w:jc w:val="center"/>
              <w:rPr>
                <w:b/>
              </w:rPr>
            </w:pP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rPr>
            </w:pPr>
          </w:p>
        </w:tc>
        <w:tc>
          <w:tcPr>
            <w:tcW w:w="4203" w:type="dxa"/>
            <w:gridSpan w:val="2"/>
            <w:vMerge w:val="continue"/>
            <w:vAlign w:val="center"/>
          </w:tcPr>
          <w:p>
            <w:pPr>
              <w:tabs>
                <w:tab w:val="clear" w:pos="426"/>
              </w:tabs>
              <w:adjustRightInd/>
              <w:snapToGrid/>
              <w:spacing w:line="240" w:lineRule="auto"/>
              <w:jc w:val="center"/>
              <w:rPr>
                <w:color w:val="000000"/>
              </w:rPr>
            </w:pPr>
          </w:p>
        </w:tc>
        <w:tc>
          <w:tcPr>
            <w:tcW w:w="3105" w:type="dxa"/>
            <w:gridSpan w:val="3"/>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rPr>
            </w:pPr>
          </w:p>
        </w:tc>
        <w:tc>
          <w:tcPr>
            <w:tcW w:w="4203" w:type="dxa"/>
            <w:gridSpan w:val="2"/>
            <w:vMerge w:val="continue"/>
            <w:vAlign w:val="center"/>
          </w:tcPr>
          <w:p>
            <w:pPr>
              <w:tabs>
                <w:tab w:val="clear" w:pos="426"/>
              </w:tabs>
              <w:adjustRightInd/>
              <w:snapToGrid/>
              <w:spacing w:line="240" w:lineRule="auto"/>
              <w:jc w:val="center"/>
              <w:rPr>
                <w:color w:val="000000"/>
              </w:rPr>
            </w:pPr>
          </w:p>
        </w:tc>
        <w:tc>
          <w:tcPr>
            <w:tcW w:w="3105" w:type="dxa"/>
            <w:gridSpan w:val="3"/>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rPr>
            </w:pPr>
          </w:p>
        </w:tc>
        <w:tc>
          <w:tcPr>
            <w:tcW w:w="4203" w:type="dxa"/>
            <w:gridSpan w:val="2"/>
            <w:vMerge w:val="continue"/>
            <w:vAlign w:val="center"/>
          </w:tcPr>
          <w:p>
            <w:pPr>
              <w:tabs>
                <w:tab w:val="clear" w:pos="426"/>
              </w:tabs>
              <w:adjustRightInd/>
              <w:snapToGrid/>
              <w:spacing w:line="240" w:lineRule="auto"/>
              <w:jc w:val="center"/>
              <w:rPr>
                <w:color w:val="000000"/>
              </w:rPr>
            </w:pPr>
          </w:p>
        </w:tc>
        <w:tc>
          <w:tcPr>
            <w:tcW w:w="3105" w:type="dxa"/>
            <w:gridSpan w:val="3"/>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rPr>
            </w:pPr>
            <w:r>
              <w:rPr>
                <w:rFonts w:hint="eastAsia"/>
                <w:b/>
              </w:rPr>
              <w:t>2</w:t>
            </w:r>
          </w:p>
        </w:tc>
        <w:tc>
          <w:tcPr>
            <w:tcW w:w="4203" w:type="dxa"/>
            <w:gridSpan w:val="2"/>
            <w:vAlign w:val="center"/>
          </w:tcPr>
          <w:p>
            <w:pPr>
              <w:tabs>
                <w:tab w:val="clear" w:pos="426"/>
              </w:tabs>
              <w:adjustRightInd/>
              <w:snapToGrid/>
              <w:spacing w:line="240" w:lineRule="auto"/>
              <w:jc w:val="center"/>
              <w:rPr>
                <w:b/>
              </w:rPr>
            </w:pPr>
            <w:r>
              <w:rPr>
                <w:rFonts w:hint="eastAsia"/>
                <w:color w:val="000000"/>
              </w:rPr>
              <w:t>投标截止时间前投标保证金缴纳情况</w:t>
            </w:r>
          </w:p>
        </w:tc>
        <w:tc>
          <w:tcPr>
            <w:tcW w:w="3105" w:type="dxa"/>
            <w:gridSpan w:val="3"/>
            <w:vAlign w:val="center"/>
          </w:tcPr>
          <w:p>
            <w:pPr>
              <w:tabs>
                <w:tab w:val="clear" w:pos="426"/>
              </w:tabs>
              <w:adjustRightInd/>
              <w:snapToGrid/>
              <w:spacing w:line="240" w:lineRule="auto"/>
              <w:jc w:val="center"/>
            </w:pPr>
            <w:r>
              <w:rPr>
                <w:rFonts w:hint="eastAsia"/>
              </w:rPr>
              <w:t>投标保证金缴纳承诺函</w:t>
            </w:r>
          </w:p>
        </w:tc>
        <w:tc>
          <w:tcPr>
            <w:tcW w:w="1397" w:type="dxa"/>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rPr>
            </w:pPr>
            <w:r>
              <w:rPr>
                <w:rFonts w:hint="eastAsia"/>
                <w:b/>
              </w:rPr>
              <w:t>二、符合性审查指引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rPr>
            </w:pPr>
            <w:r>
              <w:rPr>
                <w:rFonts w:hint="eastAsia"/>
                <w:b/>
              </w:rPr>
              <w:t>序号</w:t>
            </w:r>
          </w:p>
        </w:tc>
        <w:tc>
          <w:tcPr>
            <w:tcW w:w="5943" w:type="dxa"/>
            <w:gridSpan w:val="4"/>
            <w:vAlign w:val="center"/>
          </w:tcPr>
          <w:p>
            <w:pPr>
              <w:tabs>
                <w:tab w:val="clear" w:pos="426"/>
              </w:tabs>
              <w:adjustRightInd/>
              <w:snapToGrid/>
              <w:spacing w:line="240" w:lineRule="auto"/>
              <w:jc w:val="center"/>
              <w:rPr>
                <w:b/>
              </w:rPr>
            </w:pPr>
            <w:r>
              <w:rPr>
                <w:rFonts w:hint="eastAsia"/>
                <w:b/>
              </w:rPr>
              <w:t>符合性审查项目</w:t>
            </w:r>
          </w:p>
        </w:tc>
        <w:tc>
          <w:tcPr>
            <w:tcW w:w="2762" w:type="dxa"/>
            <w:gridSpan w:val="2"/>
            <w:vAlign w:val="center"/>
          </w:tcPr>
          <w:p>
            <w:pPr>
              <w:tabs>
                <w:tab w:val="clear" w:pos="426"/>
              </w:tabs>
              <w:adjustRightInd/>
              <w:snapToGrid/>
              <w:spacing w:line="240" w:lineRule="auto"/>
              <w:jc w:val="center"/>
              <w:rPr>
                <w:b/>
              </w:rPr>
            </w:pPr>
            <w:r>
              <w:rPr>
                <w:rFonts w:hint="eastAsia"/>
                <w:b/>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1</w:t>
            </w:r>
          </w:p>
        </w:tc>
        <w:tc>
          <w:tcPr>
            <w:tcW w:w="5943" w:type="dxa"/>
            <w:gridSpan w:val="4"/>
            <w:vAlign w:val="center"/>
          </w:tcPr>
          <w:p>
            <w:pPr>
              <w:tabs>
                <w:tab w:val="clear" w:pos="426"/>
              </w:tabs>
              <w:adjustRightInd/>
              <w:snapToGrid/>
              <w:spacing w:line="240" w:lineRule="auto"/>
            </w:pPr>
            <w:r>
              <w:rPr>
                <w:rFonts w:hint="eastAsia"/>
              </w:rPr>
              <w:t>未出现将一个包中的内容拆开投标；</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2</w:t>
            </w:r>
          </w:p>
        </w:tc>
        <w:tc>
          <w:tcPr>
            <w:tcW w:w="5943" w:type="dxa"/>
            <w:gridSpan w:val="4"/>
            <w:vAlign w:val="center"/>
          </w:tcPr>
          <w:p>
            <w:pPr>
              <w:tabs>
                <w:tab w:val="clear" w:pos="426"/>
              </w:tabs>
              <w:adjustRightInd/>
              <w:snapToGrid/>
              <w:spacing w:line="240" w:lineRule="auto"/>
            </w:pPr>
            <w:r>
              <w:rPr>
                <w:rFonts w:hint="eastAsia"/>
              </w:rPr>
              <w:t>投标文件及开标一览表按规定密封、签字、盖章</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3</w:t>
            </w:r>
          </w:p>
        </w:tc>
        <w:tc>
          <w:tcPr>
            <w:tcW w:w="5943" w:type="dxa"/>
            <w:gridSpan w:val="4"/>
            <w:vAlign w:val="center"/>
          </w:tcPr>
          <w:p>
            <w:pPr>
              <w:tabs>
                <w:tab w:val="clear" w:pos="426"/>
              </w:tabs>
              <w:adjustRightInd/>
              <w:snapToGrid/>
              <w:spacing w:line="240" w:lineRule="auto"/>
            </w:pPr>
            <w:r>
              <w:rPr>
                <w:rFonts w:hint="eastAsia"/>
              </w:rPr>
              <w:t>除招标文件规定允许有替代方案外，对同一项目投标时，未提供两套或两套以上的投标方案；</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4</w:t>
            </w:r>
          </w:p>
        </w:tc>
        <w:tc>
          <w:tcPr>
            <w:tcW w:w="5943" w:type="dxa"/>
            <w:gridSpan w:val="4"/>
            <w:vAlign w:val="center"/>
          </w:tcPr>
          <w:p>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5</w:t>
            </w:r>
          </w:p>
        </w:tc>
        <w:tc>
          <w:tcPr>
            <w:tcW w:w="5943" w:type="dxa"/>
            <w:gridSpan w:val="4"/>
            <w:vAlign w:val="center"/>
          </w:tcPr>
          <w:p>
            <w:pPr>
              <w:tabs>
                <w:tab w:val="clear" w:pos="426"/>
              </w:tabs>
              <w:adjustRightInd/>
              <w:snapToGrid/>
              <w:spacing w:line="240" w:lineRule="auto"/>
            </w:pPr>
            <w:r>
              <w:rPr>
                <w:rFonts w:hint="eastAsia"/>
              </w:rPr>
              <w:t>按照招标文件规定要求签署、盖章；投标文件有法定代表人签字，签字人有法定代表人有效授权书；</w:t>
            </w:r>
          </w:p>
        </w:tc>
        <w:tc>
          <w:tcPr>
            <w:tcW w:w="2762" w:type="dxa"/>
            <w:gridSpan w:val="2"/>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6</w:t>
            </w:r>
          </w:p>
        </w:tc>
        <w:tc>
          <w:tcPr>
            <w:tcW w:w="5943" w:type="dxa"/>
            <w:gridSpan w:val="4"/>
            <w:vAlign w:val="center"/>
          </w:tcPr>
          <w:p>
            <w:pPr>
              <w:tabs>
                <w:tab w:val="clear" w:pos="426"/>
              </w:tabs>
              <w:adjustRightInd/>
              <w:snapToGrid/>
              <w:spacing w:line="240" w:lineRule="auto"/>
            </w:pPr>
            <w:r>
              <w:rPr>
                <w:rFonts w:hint="eastAsia"/>
              </w:rPr>
              <w:t>投标总价或分项报价不高于财政预算限额（最高投标限价）；</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7</w:t>
            </w:r>
          </w:p>
        </w:tc>
        <w:tc>
          <w:tcPr>
            <w:tcW w:w="5943" w:type="dxa"/>
            <w:gridSpan w:val="4"/>
            <w:vAlign w:val="center"/>
          </w:tcPr>
          <w:p>
            <w:pPr>
              <w:tabs>
                <w:tab w:val="clear" w:pos="426"/>
              </w:tabs>
              <w:adjustRightInd/>
              <w:snapToGrid/>
              <w:spacing w:line="240" w:lineRule="auto"/>
            </w:pPr>
            <w:r>
              <w:rPr>
                <w:rFonts w:hint="eastAsia"/>
                <w:highlight w:val="yellow"/>
              </w:rPr>
              <w:t>不存在以下情形：</w:t>
            </w:r>
            <w:r>
              <w:rPr>
                <w:szCs w:val="21"/>
              </w:rPr>
              <w:t>同一项目出现两个及以上报价，且按规定无法确定哪个是有效报价；</w:t>
            </w:r>
          </w:p>
        </w:tc>
        <w:tc>
          <w:tcPr>
            <w:tcW w:w="2762" w:type="dxa"/>
            <w:gridSpan w:val="2"/>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8</w:t>
            </w:r>
          </w:p>
        </w:tc>
        <w:tc>
          <w:tcPr>
            <w:tcW w:w="5943" w:type="dxa"/>
            <w:gridSpan w:val="4"/>
            <w:vAlign w:val="center"/>
          </w:tcPr>
          <w:p>
            <w:pPr>
              <w:tabs>
                <w:tab w:val="clear" w:pos="426"/>
              </w:tabs>
              <w:adjustRightInd/>
              <w:snapToGrid/>
              <w:spacing w:line="240" w:lineRule="auto"/>
            </w:pPr>
            <w:r>
              <w:rPr>
                <w:rFonts w:hint="eastAsia"/>
                <w:highlight w:val="yellow"/>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9</w:t>
            </w:r>
          </w:p>
        </w:tc>
        <w:tc>
          <w:tcPr>
            <w:tcW w:w="5943" w:type="dxa"/>
            <w:gridSpan w:val="4"/>
            <w:vAlign w:val="center"/>
          </w:tcPr>
          <w:p>
            <w:pPr>
              <w:tabs>
                <w:tab w:val="clear" w:pos="426"/>
              </w:tabs>
              <w:adjustRightInd/>
              <w:snapToGrid/>
              <w:spacing w:line="240" w:lineRule="auto"/>
            </w:pPr>
            <w:r>
              <w:rPr>
                <w:rFonts w:hint="eastAsia"/>
                <w:highlight w:val="yellow"/>
              </w:rPr>
              <w:t>投标文件载明的交货期未超过招标文件规定的期限；</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10</w:t>
            </w:r>
          </w:p>
        </w:tc>
        <w:tc>
          <w:tcPr>
            <w:tcW w:w="5943" w:type="dxa"/>
            <w:gridSpan w:val="4"/>
            <w:vAlign w:val="center"/>
          </w:tcPr>
          <w:p>
            <w:pPr>
              <w:tabs>
                <w:tab w:val="clear" w:pos="426"/>
              </w:tabs>
              <w:adjustRightInd/>
              <w:snapToGrid/>
              <w:spacing w:line="240" w:lineRule="auto"/>
            </w:pPr>
            <w:r>
              <w:rPr>
                <w:rFonts w:hint="eastAsia"/>
                <w:highlight w:val="yellow"/>
              </w:rPr>
              <w:t>投标文件载明的免费保修期未低于招标文件规定的期限；</w:t>
            </w:r>
          </w:p>
        </w:tc>
        <w:tc>
          <w:tcPr>
            <w:tcW w:w="2762" w:type="dxa"/>
            <w:gridSpan w:val="2"/>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11</w:t>
            </w:r>
          </w:p>
        </w:tc>
        <w:tc>
          <w:tcPr>
            <w:tcW w:w="5943" w:type="dxa"/>
            <w:gridSpan w:val="4"/>
            <w:vAlign w:val="center"/>
          </w:tcPr>
          <w:p>
            <w:pPr>
              <w:tabs>
                <w:tab w:val="clear" w:pos="426"/>
              </w:tabs>
              <w:adjustRightInd/>
              <w:snapToGrid/>
              <w:spacing w:line="240" w:lineRule="auto"/>
            </w:pPr>
            <w:r>
              <w:rPr>
                <w:rFonts w:hint="eastAsia"/>
              </w:rPr>
              <w:t>所投产品、工程、服务在质量、技术、方案等方面实质性满足招标文件要求；</w:t>
            </w:r>
          </w:p>
        </w:tc>
        <w:tc>
          <w:tcPr>
            <w:tcW w:w="2762" w:type="dxa"/>
            <w:gridSpan w:val="2"/>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12</w:t>
            </w:r>
          </w:p>
        </w:tc>
        <w:tc>
          <w:tcPr>
            <w:tcW w:w="5943" w:type="dxa"/>
            <w:gridSpan w:val="4"/>
            <w:vAlign w:val="center"/>
          </w:tcPr>
          <w:p>
            <w:pPr>
              <w:tabs>
                <w:tab w:val="clear" w:pos="426"/>
              </w:tabs>
              <w:adjustRightInd/>
              <w:snapToGrid/>
              <w:spacing w:line="240" w:lineRule="auto"/>
            </w:pPr>
            <w:r>
              <w:rPr>
                <w:rFonts w:hint="eastAsia"/>
                <w:highlight w:val="yellow"/>
              </w:rPr>
              <w:t>未出现《技术规格偏离表》或《商务需求偏离表》填写不全、不明或不实；</w:t>
            </w:r>
          </w:p>
        </w:tc>
        <w:tc>
          <w:tcPr>
            <w:tcW w:w="2762" w:type="dxa"/>
            <w:gridSpan w:val="2"/>
            <w:vAlign w:val="center"/>
          </w:tcPr>
          <w:p>
            <w:pPr>
              <w:tabs>
                <w:tab w:val="clear" w:pos="426"/>
              </w:tabs>
              <w:adjustRightInd/>
              <w:snapToGrid/>
              <w:spacing w:line="240"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13</w:t>
            </w:r>
          </w:p>
        </w:tc>
        <w:tc>
          <w:tcPr>
            <w:tcW w:w="5943" w:type="dxa"/>
            <w:gridSpan w:val="4"/>
            <w:vAlign w:val="center"/>
          </w:tcPr>
          <w:p>
            <w:pPr>
              <w:tabs>
                <w:tab w:val="clear" w:pos="426"/>
              </w:tabs>
              <w:adjustRightInd/>
              <w:snapToGrid/>
              <w:spacing w:line="240" w:lineRule="auto"/>
            </w:pPr>
            <w:r>
              <w:rPr>
                <w:rFonts w:hint="eastAsia"/>
              </w:rPr>
              <w:t>投标文件不存在招标文件中规定的其它无效投标条款的；</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pPr>
            <w:r>
              <w:rPr>
                <w:rFonts w:hint="eastAsia"/>
              </w:rPr>
              <w:t>14</w:t>
            </w:r>
          </w:p>
        </w:tc>
        <w:tc>
          <w:tcPr>
            <w:tcW w:w="5943" w:type="dxa"/>
            <w:gridSpan w:val="4"/>
            <w:vAlign w:val="center"/>
          </w:tcPr>
          <w:p>
            <w:pPr>
              <w:tabs>
                <w:tab w:val="clear" w:pos="426"/>
              </w:tabs>
              <w:adjustRightInd/>
              <w:snapToGrid/>
              <w:spacing w:line="240" w:lineRule="auto"/>
            </w:pPr>
            <w:r>
              <w:rPr>
                <w:rFonts w:hint="eastAsia"/>
                <w:highlight w:val="yellow"/>
              </w:rPr>
              <w:t>不属于法律、法规规定的投标无效的其他情形。</w:t>
            </w:r>
          </w:p>
        </w:tc>
        <w:tc>
          <w:tcPr>
            <w:tcW w:w="2762" w:type="dxa"/>
            <w:gridSpan w:val="2"/>
            <w:vAlign w:val="center"/>
          </w:tcPr>
          <w:p>
            <w:pPr>
              <w:tabs>
                <w:tab w:val="clear" w:pos="426"/>
              </w:tabs>
              <w:adjustRightInd/>
              <w:snapToGri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rPr>
            </w:pPr>
            <w:r>
              <w:rPr>
                <w:rFonts w:hint="eastAsia"/>
                <w:b/>
              </w:rPr>
              <w:t>三、综合评分指引（请根据项目评分表内容调整）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rPr>
            </w:pPr>
            <w:r>
              <w:rPr>
                <w:rFonts w:hint="eastAsia"/>
                <w:b/>
              </w:rPr>
              <w:t>评分类别</w:t>
            </w:r>
          </w:p>
        </w:tc>
        <w:tc>
          <w:tcPr>
            <w:tcW w:w="5499" w:type="dxa"/>
            <w:gridSpan w:val="2"/>
            <w:vAlign w:val="center"/>
          </w:tcPr>
          <w:p>
            <w:pPr>
              <w:tabs>
                <w:tab w:val="clear" w:pos="426"/>
              </w:tabs>
              <w:adjustRightInd/>
              <w:snapToGrid/>
              <w:spacing w:line="240" w:lineRule="auto"/>
              <w:jc w:val="center"/>
              <w:rPr>
                <w:b/>
              </w:rPr>
            </w:pPr>
            <w:r>
              <w:rPr>
                <w:rFonts w:hint="eastAsia"/>
                <w:b/>
              </w:rPr>
              <w:t>评分项目</w:t>
            </w:r>
          </w:p>
        </w:tc>
        <w:tc>
          <w:tcPr>
            <w:tcW w:w="1463" w:type="dxa"/>
            <w:gridSpan w:val="2"/>
            <w:vAlign w:val="center"/>
          </w:tcPr>
          <w:p>
            <w:pPr>
              <w:tabs>
                <w:tab w:val="clear" w:pos="426"/>
              </w:tabs>
              <w:adjustRightInd/>
              <w:snapToGrid/>
              <w:spacing w:line="240" w:lineRule="auto"/>
              <w:jc w:val="center"/>
              <w:rPr>
                <w:b/>
              </w:rPr>
            </w:pPr>
            <w:r>
              <w:rPr>
                <w:rFonts w:hint="eastAsia"/>
                <w:b/>
              </w:rPr>
              <w:t>对应章节</w:t>
            </w:r>
          </w:p>
        </w:tc>
        <w:tc>
          <w:tcPr>
            <w:tcW w:w="1397" w:type="dxa"/>
            <w:vAlign w:val="center"/>
          </w:tcPr>
          <w:p>
            <w:pPr>
              <w:tabs>
                <w:tab w:val="clear" w:pos="426"/>
              </w:tabs>
              <w:adjustRightInd/>
              <w:snapToGrid/>
              <w:spacing w:line="240" w:lineRule="auto"/>
              <w:jc w:val="center"/>
              <w:rPr>
                <w:b/>
              </w:rPr>
            </w:pPr>
            <w:r>
              <w:rPr>
                <w:rFonts w:hint="eastAsia"/>
                <w:b/>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rPr>
            </w:pPr>
            <w:r>
              <w:rPr>
                <w:rFonts w:hint="eastAsia"/>
                <w:b/>
              </w:rPr>
              <w:t>价格部分</w:t>
            </w:r>
          </w:p>
        </w:tc>
        <w:tc>
          <w:tcPr>
            <w:tcW w:w="5499" w:type="dxa"/>
            <w:gridSpan w:val="2"/>
            <w:vAlign w:val="center"/>
          </w:tcPr>
          <w:p>
            <w:pPr>
              <w:tabs>
                <w:tab w:val="clear" w:pos="426"/>
              </w:tabs>
              <w:adjustRightInd/>
              <w:snapToGrid/>
              <w:spacing w:line="240" w:lineRule="auto"/>
              <w:jc w:val="center"/>
              <w:rPr>
                <w:b/>
              </w:rP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P  -P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rPr>
            </w:pPr>
            <w:r>
              <w:rPr>
                <w:rFonts w:hint="eastAsia"/>
                <w:b/>
              </w:rPr>
              <w:t>技术部分</w:t>
            </w:r>
          </w:p>
        </w:tc>
        <w:tc>
          <w:tcPr>
            <w:tcW w:w="5499" w:type="dxa"/>
            <w:gridSpan w:val="2"/>
            <w:shd w:val="clear" w:color="auto" w:fill="auto"/>
            <w:vAlign w:val="center"/>
          </w:tcPr>
          <w:p>
            <w:pPr>
              <w:tabs>
                <w:tab w:val="clear" w:pos="426"/>
              </w:tabs>
              <w:adjustRightInd/>
              <w:snapToGrid/>
              <w:spacing w:line="240" w:lineRule="auto"/>
              <w:jc w:val="cente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rPr>
            </w:pPr>
          </w:p>
        </w:tc>
        <w:tc>
          <w:tcPr>
            <w:tcW w:w="5499" w:type="dxa"/>
            <w:gridSpan w:val="2"/>
            <w:shd w:val="clear" w:color="auto" w:fill="auto"/>
            <w:vAlign w:val="center"/>
          </w:tcPr>
          <w:p>
            <w:pPr>
              <w:tabs>
                <w:tab w:val="clear" w:pos="426"/>
              </w:tabs>
              <w:adjustRightInd/>
              <w:snapToGrid/>
              <w:spacing w:line="240" w:lineRule="auto"/>
              <w:jc w:val="cente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rPr>
            </w:pPr>
          </w:p>
        </w:tc>
        <w:tc>
          <w:tcPr>
            <w:tcW w:w="5499" w:type="dxa"/>
            <w:gridSpan w:val="2"/>
            <w:shd w:val="clear" w:color="auto" w:fill="auto"/>
            <w:vAlign w:val="center"/>
          </w:tcPr>
          <w:p>
            <w:pPr>
              <w:tabs>
                <w:tab w:val="clear" w:pos="426"/>
              </w:tabs>
              <w:adjustRightInd/>
              <w:snapToGrid/>
              <w:spacing w:line="240" w:lineRule="auto"/>
              <w:jc w:val="center"/>
              <w:rPr>
                <w:b/>
              </w:rP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rPr>
            </w:pPr>
            <w:r>
              <w:rPr>
                <w:rFonts w:hint="eastAsia"/>
                <w:b/>
              </w:rPr>
              <w:t>商务部分</w:t>
            </w:r>
          </w:p>
        </w:tc>
        <w:tc>
          <w:tcPr>
            <w:tcW w:w="5499" w:type="dxa"/>
            <w:gridSpan w:val="2"/>
            <w:shd w:val="clear" w:color="auto" w:fill="auto"/>
            <w:vAlign w:val="center"/>
          </w:tcPr>
          <w:p>
            <w:pPr>
              <w:tabs>
                <w:tab w:val="clear" w:pos="426"/>
              </w:tabs>
              <w:adjustRightInd/>
              <w:snapToGrid/>
              <w:spacing w:line="240" w:lineRule="auto"/>
              <w:jc w:val="center"/>
              <w:rPr>
                <w:b/>
              </w:rP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rPr>
            </w:pPr>
          </w:p>
        </w:tc>
        <w:tc>
          <w:tcPr>
            <w:tcW w:w="5499" w:type="dxa"/>
            <w:gridSpan w:val="2"/>
            <w:shd w:val="clear" w:color="auto" w:fill="auto"/>
            <w:vAlign w:val="center"/>
          </w:tcPr>
          <w:p>
            <w:pPr>
              <w:tabs>
                <w:tab w:val="clear" w:pos="426"/>
              </w:tabs>
              <w:adjustRightInd/>
              <w:snapToGrid/>
              <w:spacing w:line="240" w:lineRule="auto"/>
              <w:jc w:val="center"/>
              <w:rPr>
                <w:b/>
              </w:rP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rPr>
            </w:pPr>
          </w:p>
        </w:tc>
        <w:tc>
          <w:tcPr>
            <w:tcW w:w="5499" w:type="dxa"/>
            <w:gridSpan w:val="2"/>
            <w:shd w:val="clear" w:color="auto" w:fill="auto"/>
            <w:vAlign w:val="center"/>
          </w:tcPr>
          <w:p>
            <w:pPr>
              <w:tabs>
                <w:tab w:val="clear" w:pos="426"/>
              </w:tabs>
              <w:adjustRightInd/>
              <w:snapToGrid/>
              <w:spacing w:line="240" w:lineRule="auto"/>
              <w:jc w:val="center"/>
              <w:rPr>
                <w:b/>
              </w:rP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rPr>
            </w:pPr>
            <w:r>
              <w:rPr>
                <w:rFonts w:hint="eastAsia"/>
                <w:b/>
              </w:rPr>
              <w:t>……</w:t>
            </w:r>
          </w:p>
        </w:tc>
        <w:tc>
          <w:tcPr>
            <w:tcW w:w="5499" w:type="dxa"/>
            <w:gridSpan w:val="2"/>
            <w:shd w:val="clear" w:color="auto" w:fill="auto"/>
            <w:vAlign w:val="center"/>
          </w:tcPr>
          <w:p>
            <w:pPr>
              <w:tabs>
                <w:tab w:val="clear" w:pos="426"/>
              </w:tabs>
              <w:adjustRightInd/>
              <w:snapToGrid/>
              <w:spacing w:line="240" w:lineRule="auto"/>
              <w:jc w:val="center"/>
              <w:rPr>
                <w:b/>
              </w:rP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rPr>
            </w:pPr>
            <w:r>
              <w:rPr>
                <w:rFonts w:hint="eastAsia"/>
                <w:b/>
              </w:rPr>
              <w:t>……</w:t>
            </w:r>
          </w:p>
        </w:tc>
        <w:tc>
          <w:tcPr>
            <w:tcW w:w="5499" w:type="dxa"/>
            <w:gridSpan w:val="2"/>
            <w:shd w:val="clear" w:color="auto" w:fill="auto"/>
            <w:vAlign w:val="center"/>
          </w:tcPr>
          <w:p>
            <w:pPr>
              <w:tabs>
                <w:tab w:val="clear" w:pos="426"/>
              </w:tabs>
              <w:adjustRightInd/>
              <w:snapToGrid/>
              <w:spacing w:line="240" w:lineRule="auto"/>
              <w:jc w:val="center"/>
              <w:rPr>
                <w:b/>
              </w:rPr>
            </w:pPr>
          </w:p>
        </w:tc>
        <w:tc>
          <w:tcPr>
            <w:tcW w:w="1463" w:type="dxa"/>
            <w:gridSpan w:val="2"/>
            <w:vAlign w:val="center"/>
          </w:tcPr>
          <w:p>
            <w:pPr>
              <w:tabs>
                <w:tab w:val="clear" w:pos="426"/>
              </w:tabs>
              <w:adjustRightInd/>
              <w:snapToGrid/>
              <w:spacing w:line="240" w:lineRule="auto"/>
              <w:jc w:val="center"/>
              <w:rPr>
                <w:b/>
              </w:rPr>
            </w:pPr>
          </w:p>
        </w:tc>
        <w:tc>
          <w:tcPr>
            <w:tcW w:w="1397" w:type="dxa"/>
            <w:vAlign w:val="center"/>
          </w:tcPr>
          <w:p>
            <w:pPr>
              <w:tabs>
                <w:tab w:val="clear" w:pos="426"/>
              </w:tabs>
              <w:adjustRightInd/>
              <w:snapToGrid/>
              <w:spacing w:line="240" w:lineRule="auto"/>
              <w:jc w:val="center"/>
              <w:rPr>
                <w:b/>
              </w:rPr>
            </w:pPr>
            <w:r>
              <w:rPr>
                <w:rFonts w:hint="eastAsia"/>
                <w:b/>
              </w:rPr>
              <w:t xml:space="preserve">P  -P  </w:t>
            </w:r>
          </w:p>
        </w:tc>
      </w:tr>
    </w:tbl>
    <w:p>
      <w:pPr>
        <w:tabs>
          <w:tab w:val="clear" w:pos="426"/>
        </w:tabs>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pPr>
        <w:tabs>
          <w:tab w:val="clear" w:pos="426"/>
        </w:tabs>
      </w:pPr>
    </w:p>
    <w:p>
      <w:pPr>
        <w:tabs>
          <w:tab w:val="clear" w:pos="426"/>
        </w:tabs>
      </w:pPr>
    </w:p>
    <w:p>
      <w:pPr>
        <w:numPr>
          <w:ilvl w:val="0"/>
          <w:numId w:val="34"/>
        </w:numPr>
        <w:adjustRightInd/>
        <w:snapToGrid/>
        <w:spacing w:before="280" w:after="290" w:line="377" w:lineRule="auto"/>
        <w:outlineLvl w:val="2"/>
        <w:rPr>
          <w:b/>
          <w:sz w:val="24"/>
        </w:rPr>
      </w:pPr>
      <w:r>
        <w:rPr>
          <w:rFonts w:ascii="黑体" w:eastAsia="黑体"/>
          <w:bCs/>
          <w:sz w:val="28"/>
        </w:rPr>
        <w:br w:type="page"/>
      </w:r>
      <w:r>
        <w:rPr>
          <w:rFonts w:hint="eastAsia"/>
          <w:b/>
          <w:sz w:val="24"/>
        </w:rPr>
        <w:t>投标函</w:t>
      </w:r>
    </w:p>
    <w:p>
      <w:pPr>
        <w:widowControl w:val="0"/>
        <w:shd w:val="clear" w:color="auto" w:fill="auto"/>
        <w:tabs>
          <w:tab w:val="clear" w:pos="426"/>
        </w:tabs>
        <w:adjustRightInd/>
        <w:snapToGrid/>
        <w:spacing w:line="300" w:lineRule="auto"/>
        <w:jc w:val="center"/>
        <w:rPr>
          <w:rFonts w:cs="Times New Roman"/>
          <w:bCs/>
          <w:kern w:val="2"/>
          <w:sz w:val="32"/>
          <w:szCs w:val="32"/>
        </w:rPr>
      </w:pPr>
      <w:bookmarkStart w:id="38" w:name="_Toc201997950"/>
      <w:bookmarkStart w:id="39" w:name="_Toc201742865"/>
      <w:bookmarkStart w:id="40" w:name="_Toc201743120"/>
      <w:bookmarkStart w:id="41" w:name="_Toc201719122"/>
      <w:r>
        <w:rPr>
          <w:rFonts w:hint="eastAsia" w:cs="Times New Roman"/>
          <w:bCs/>
          <w:kern w:val="2"/>
          <w:sz w:val="32"/>
          <w:szCs w:val="32"/>
        </w:rPr>
        <w:t>投标函</w:t>
      </w:r>
      <w:bookmarkEnd w:id="38"/>
      <w:bookmarkEnd w:id="39"/>
      <w:bookmarkEnd w:id="40"/>
      <w:bookmarkEnd w:id="41"/>
    </w:p>
    <w:p>
      <w:pPr>
        <w:tabs>
          <w:tab w:val="clear" w:pos="426"/>
        </w:tabs>
        <w:spacing w:line="300" w:lineRule="auto"/>
        <w:rPr>
          <w:szCs w:val="21"/>
        </w:rPr>
      </w:pPr>
    </w:p>
    <w:p>
      <w:pPr>
        <w:tabs>
          <w:tab w:val="clear" w:pos="426"/>
        </w:tabs>
        <w:spacing w:line="300" w:lineRule="auto"/>
        <w:rPr>
          <w:szCs w:val="21"/>
        </w:rPr>
      </w:pPr>
      <w:r>
        <w:rPr>
          <w:rFonts w:hint="eastAsia"/>
          <w:szCs w:val="21"/>
        </w:rPr>
        <w:t>致：</w:t>
      </w:r>
      <w:r>
        <w:rPr>
          <w:rFonts w:hint="eastAsia"/>
          <w:szCs w:val="21"/>
          <w:u w:val="single"/>
        </w:rPr>
        <w:t xml:space="preserve">       （采购人名称)          </w:t>
      </w:r>
    </w:p>
    <w:p>
      <w:pPr>
        <w:spacing w:after="120" w:afterLines="50"/>
        <w:ind w:firstLine="420" w:firstLineChars="200"/>
        <w:rPr>
          <w:szCs w:val="21"/>
        </w:rPr>
      </w:pPr>
      <w:r>
        <w:rPr>
          <w:rFonts w:hint="eastAsia"/>
          <w:szCs w:val="21"/>
        </w:rPr>
        <w:t>1、根据已收到贵方的招标编号为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等有关规定，我单位经研究上述招标文件的专用条款及通用条款后，我方愿以投标书《开标一览表》中填写的投标报价并按招标文件要求承包上述项目并修补其任何缺陷。</w:t>
      </w:r>
    </w:p>
    <w:p>
      <w:pPr>
        <w:spacing w:after="120"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after="120" w:afterLines="50"/>
        <w:ind w:firstLine="420" w:firstLineChars="200"/>
        <w:rPr>
          <w:szCs w:val="21"/>
        </w:rPr>
      </w:pPr>
      <w:r>
        <w:rPr>
          <w:rFonts w:hint="eastAsia"/>
          <w:szCs w:val="21"/>
          <w:highlight w:val="yellow"/>
        </w:rPr>
        <w:t>3、如果我方中标，我方将按照规定提交上述总价</w:t>
      </w:r>
      <w:r>
        <w:rPr>
          <w:rFonts w:hint="eastAsia"/>
          <w:szCs w:val="21"/>
          <w:highlight w:val="yellow"/>
          <w:u w:val="single"/>
        </w:rPr>
        <w:t xml:space="preserve">   /   </w:t>
      </w:r>
      <w:r>
        <w:rPr>
          <w:rFonts w:hint="eastAsia"/>
          <w:szCs w:val="21"/>
          <w:highlight w:val="yellow"/>
        </w:rPr>
        <w:t>％（或</w:t>
      </w:r>
      <w:r>
        <w:rPr>
          <w:rFonts w:hint="eastAsia"/>
          <w:szCs w:val="21"/>
          <w:highlight w:val="yellow"/>
          <w:u w:val="single"/>
        </w:rPr>
        <w:t xml:space="preserve"> /  </w:t>
      </w:r>
      <w:r>
        <w:rPr>
          <w:rFonts w:hint="eastAsia"/>
          <w:szCs w:val="21"/>
          <w:highlight w:val="yellow"/>
        </w:rPr>
        <w:t>万元）作为履约担保（可提供保函或现金）。</w:t>
      </w:r>
    </w:p>
    <w:p>
      <w:pPr>
        <w:spacing w:after="120" w:afterLines="50"/>
        <w:ind w:firstLine="411" w:firstLineChars="196"/>
        <w:rPr>
          <w:szCs w:val="21"/>
        </w:rPr>
      </w:pPr>
      <w:r>
        <w:rPr>
          <w:rFonts w:hint="eastAsia"/>
          <w:szCs w:val="21"/>
        </w:rPr>
        <w:t>4、我方同意所递交的投标文件在“对通用条款的补充内容”中的投标有效期内有效，在此期间内我方的投标有可能中标，我方将受此约束。如果在投标有效期内撤回其投标，其投标保证金将全部被没收。</w:t>
      </w:r>
    </w:p>
    <w:p>
      <w:pPr>
        <w:spacing w:after="120" w:afterLines="50"/>
        <w:ind w:firstLine="411" w:firstLineChars="196"/>
        <w:rPr>
          <w:szCs w:val="21"/>
        </w:rPr>
      </w:pPr>
      <w:r>
        <w:rPr>
          <w:rFonts w:hint="eastAsia"/>
          <w:szCs w:val="21"/>
        </w:rPr>
        <w:t>5、除非另外达成协议并生效，贵方的中标通知书和本投标文件将构成约束我们双方的合同。</w:t>
      </w:r>
    </w:p>
    <w:p>
      <w:pPr>
        <w:spacing w:after="120" w:afterLines="50"/>
        <w:ind w:firstLine="411" w:firstLineChars="196"/>
        <w:rPr>
          <w:szCs w:val="21"/>
        </w:rPr>
      </w:pPr>
      <w:r>
        <w:rPr>
          <w:rFonts w:hint="eastAsia"/>
          <w:szCs w:val="21"/>
        </w:rPr>
        <w:t>5、我方理解贵方将不受必须接受你们所收到的最低标价或其它任何投标文件的约束。</w:t>
      </w:r>
    </w:p>
    <w:p>
      <w:pPr>
        <w:tabs>
          <w:tab w:val="clear" w:pos="426"/>
        </w:tabs>
        <w:spacing w:line="300" w:lineRule="auto"/>
        <w:rPr>
          <w:szCs w:val="21"/>
        </w:rPr>
      </w:pPr>
    </w:p>
    <w:p>
      <w:pPr>
        <w:tabs>
          <w:tab w:val="clear" w:pos="426"/>
        </w:tabs>
        <w:spacing w:line="300" w:lineRule="auto"/>
        <w:rPr>
          <w:szCs w:val="21"/>
        </w:rPr>
      </w:pPr>
    </w:p>
    <w:p>
      <w:pPr>
        <w:tabs>
          <w:tab w:val="clear" w:pos="426"/>
        </w:tabs>
        <w:spacing w:line="300" w:lineRule="auto"/>
        <w:rPr>
          <w:szCs w:val="21"/>
        </w:rPr>
      </w:pPr>
    </w:p>
    <w:p>
      <w:pPr>
        <w:tabs>
          <w:tab w:val="clear" w:pos="426"/>
        </w:tabs>
        <w:spacing w:line="300" w:lineRule="auto"/>
        <w:rPr>
          <w:szCs w:val="21"/>
        </w:rPr>
      </w:pPr>
      <w:r>
        <w:rPr>
          <w:rFonts w:hint="eastAsia"/>
          <w:szCs w:val="21"/>
        </w:rPr>
        <w:t>地址：</w:t>
      </w:r>
      <w:r>
        <w:rPr>
          <w:rFonts w:hint="eastAsia"/>
          <w:szCs w:val="21"/>
          <w:u w:val="single"/>
        </w:rPr>
        <w:t xml:space="preserve">                          </w:t>
      </w:r>
      <w:r>
        <w:rPr>
          <w:rFonts w:hint="eastAsia"/>
          <w:szCs w:val="21"/>
        </w:rPr>
        <w:t xml:space="preserve">  电话：</w:t>
      </w:r>
      <w:r>
        <w:rPr>
          <w:rFonts w:hint="eastAsia"/>
          <w:szCs w:val="21"/>
          <w:u w:val="single"/>
        </w:rPr>
        <w:t xml:space="preserve">                        </w:t>
      </w:r>
    </w:p>
    <w:p>
      <w:pPr>
        <w:tabs>
          <w:tab w:val="clear" w:pos="426"/>
        </w:tabs>
        <w:spacing w:line="300" w:lineRule="auto"/>
        <w:rPr>
          <w:szCs w:val="21"/>
          <w:u w:val="single"/>
        </w:rPr>
      </w:pPr>
      <w:r>
        <w:rPr>
          <w:rFonts w:hint="eastAsia"/>
          <w:szCs w:val="21"/>
        </w:rPr>
        <w:t>投标人名称（公章）：</w:t>
      </w:r>
      <w:r>
        <w:rPr>
          <w:rFonts w:hint="eastAsia"/>
          <w:szCs w:val="21"/>
          <w:u w:val="single"/>
        </w:rPr>
        <w:t xml:space="preserve">                                             </w:t>
      </w:r>
    </w:p>
    <w:p>
      <w:pPr>
        <w:tabs>
          <w:tab w:val="clear" w:pos="426"/>
        </w:tabs>
        <w:spacing w:line="300" w:lineRule="auto"/>
        <w:rPr>
          <w:szCs w:val="21"/>
          <w:u w:val="single"/>
        </w:rPr>
      </w:pPr>
      <w:r>
        <w:rPr>
          <w:rFonts w:hint="eastAsia"/>
          <w:szCs w:val="21"/>
        </w:rPr>
        <w:t xml:space="preserve">投标人代表（签字)： </w:t>
      </w:r>
      <w:r>
        <w:rPr>
          <w:rFonts w:hint="eastAsia"/>
          <w:szCs w:val="21"/>
          <w:u w:val="single"/>
        </w:rPr>
        <w:t xml:space="preserve">                                             </w:t>
      </w:r>
    </w:p>
    <w:p>
      <w:pPr>
        <w:tabs>
          <w:tab w:val="clear" w:pos="426"/>
        </w:tabs>
        <w:spacing w:line="300" w:lineRule="auto"/>
        <w:rPr>
          <w:szCs w:val="21"/>
          <w:u w:val="single"/>
        </w:rPr>
      </w:pPr>
      <w:r>
        <w:rPr>
          <w:rFonts w:hint="eastAsia"/>
          <w:szCs w:val="21"/>
        </w:rPr>
        <w:t>日期：</w:t>
      </w:r>
      <w:r>
        <w:rPr>
          <w:rFonts w:hint="eastAsia"/>
          <w:szCs w:val="21"/>
          <w:u w:val="single"/>
        </w:rPr>
        <w:t xml:space="preserve">                                                           </w:t>
      </w:r>
    </w:p>
    <w:p>
      <w:pPr>
        <w:tabs>
          <w:tab w:val="clear" w:pos="426"/>
        </w:tabs>
        <w:spacing w:line="300" w:lineRule="auto"/>
      </w:pPr>
    </w:p>
    <w:p>
      <w:pPr>
        <w:tabs>
          <w:tab w:val="clear" w:pos="426"/>
        </w:tabs>
        <w:spacing w:line="300" w:lineRule="auto"/>
      </w:pPr>
    </w:p>
    <w:p>
      <w:pPr>
        <w:numPr>
          <w:ilvl w:val="0"/>
          <w:numId w:val="34"/>
        </w:numPr>
        <w:adjustRightInd/>
        <w:snapToGrid/>
        <w:spacing w:before="280" w:after="290" w:line="377" w:lineRule="auto"/>
        <w:outlineLvl w:val="2"/>
        <w:rPr>
          <w:b/>
          <w:sz w:val="24"/>
        </w:rPr>
      </w:pPr>
      <w:r>
        <w:br w:type="page"/>
      </w:r>
      <w:r>
        <w:rPr>
          <w:rFonts w:hint="eastAsia"/>
          <w:b/>
          <w:sz w:val="24"/>
        </w:rPr>
        <w:t>投标保证金缴纳承诺函</w:t>
      </w:r>
    </w:p>
    <w:p>
      <w:pPr>
        <w:tabs>
          <w:tab w:val="clear" w:pos="426"/>
        </w:tabs>
        <w:spacing w:line="300" w:lineRule="auto"/>
        <w:jc w:val="center"/>
      </w:pPr>
      <w:r>
        <w:rPr>
          <w:rFonts w:hint="eastAsia" w:cs="Times New Roman"/>
          <w:bCs/>
          <w:kern w:val="2"/>
          <w:sz w:val="32"/>
          <w:szCs w:val="32"/>
        </w:rPr>
        <w:t>投标保证金缴纳承诺函</w:t>
      </w:r>
    </w:p>
    <w:p>
      <w:pPr>
        <w:tabs>
          <w:tab w:val="clear" w:pos="426"/>
        </w:tabs>
        <w:spacing w:line="300" w:lineRule="auto"/>
      </w:pPr>
    </w:p>
    <w:p>
      <w:pPr>
        <w:tabs>
          <w:tab w:val="clear" w:pos="426"/>
        </w:tabs>
        <w:spacing w:line="300" w:lineRule="auto"/>
        <w:rPr>
          <w:b/>
        </w:rPr>
      </w:pPr>
      <w:r>
        <w:rPr>
          <w:rFonts w:hint="eastAsia"/>
          <w:b/>
        </w:rPr>
        <w:t>深圳市深水水务咨询有限公司：</w:t>
      </w:r>
    </w:p>
    <w:p>
      <w:pPr>
        <w:tabs>
          <w:tab w:val="clear" w:pos="426"/>
        </w:tabs>
        <w:spacing w:line="300" w:lineRule="auto"/>
        <w:ind w:firstLine="420" w:firstLineChars="200"/>
      </w:pPr>
      <w:r>
        <w:rPr>
          <w:rFonts w:hint="eastAsia"/>
        </w:rPr>
        <w:t>本公司</w:t>
      </w:r>
      <w:r>
        <w:rPr>
          <w:rFonts w:hint="eastAsia"/>
          <w:u w:val="single"/>
        </w:rPr>
        <w:t xml:space="preserve">       (投标人名称)      </w:t>
      </w:r>
      <w:r>
        <w:rPr>
          <w:rFonts w:hint="eastAsia"/>
        </w:rPr>
        <w:t>报名参加</w:t>
      </w:r>
      <w:r>
        <w:rPr>
          <w:rFonts w:hint="eastAsia"/>
          <w:u w:val="single"/>
        </w:rPr>
        <w:t xml:space="preserve"> （项目名称）</w:t>
      </w:r>
      <w:r>
        <w:rPr>
          <w:rFonts w:hint="eastAsia"/>
          <w:b/>
          <w:u w:val="single"/>
        </w:rPr>
        <w:t xml:space="preserve"> </w:t>
      </w:r>
      <w:r>
        <w:rPr>
          <w:rFonts w:hint="eastAsia"/>
        </w:rPr>
        <w:t>(项目编号：</w:t>
      </w:r>
      <w:r>
        <w:rPr>
          <w:rFonts w:hint="eastAsia"/>
          <w:u w:val="single"/>
        </w:rPr>
        <w:t>（项目编号）</w:t>
      </w:r>
      <w:r>
        <w:rPr>
          <w:rFonts w:hint="eastAsia"/>
        </w:rPr>
        <w:t>)的招标，我公司承诺我方已在市政府采购中心缴纳投标保证金，所缴纳的投标保证金作为本次政府采购活动的保证金。</w:t>
      </w:r>
      <w:r>
        <w:t xml:space="preserve"> </w:t>
      </w:r>
    </w:p>
    <w:p>
      <w:pPr>
        <w:tabs>
          <w:tab w:val="clear" w:pos="426"/>
        </w:tabs>
        <w:spacing w:line="300" w:lineRule="auto"/>
        <w:ind w:firstLine="420" w:firstLineChars="200"/>
      </w:pPr>
      <w:r>
        <w:rPr>
          <w:rFonts w:hint="eastAsia"/>
        </w:rPr>
        <w:t>如我公司违反上款承诺，我方愿承担由此引起的一切法律责任。</w:t>
      </w:r>
    </w:p>
    <w:p>
      <w:pPr>
        <w:tabs>
          <w:tab w:val="clear" w:pos="426"/>
        </w:tabs>
        <w:spacing w:line="300" w:lineRule="auto"/>
        <w:ind w:firstLine="850" w:firstLineChars="405"/>
      </w:pPr>
      <w:r>
        <w:rPr>
          <w:rFonts w:hint="eastAsia"/>
        </w:rPr>
        <w:t>特此承诺!</w:t>
      </w:r>
    </w:p>
    <w:p>
      <w:pPr>
        <w:tabs>
          <w:tab w:val="clear" w:pos="426"/>
        </w:tabs>
        <w:spacing w:line="300" w:lineRule="auto"/>
        <w:ind w:firstLine="420" w:firstLineChars="200"/>
      </w:pPr>
    </w:p>
    <w:p>
      <w:pPr>
        <w:tabs>
          <w:tab w:val="clear" w:pos="426"/>
        </w:tabs>
        <w:spacing w:line="300" w:lineRule="auto"/>
        <w:ind w:firstLine="420" w:firstLineChars="200"/>
      </w:pPr>
    </w:p>
    <w:p>
      <w:pPr>
        <w:tabs>
          <w:tab w:val="clear" w:pos="426"/>
        </w:tabs>
        <w:spacing w:line="300" w:lineRule="auto"/>
        <w:ind w:firstLine="420" w:firstLineChars="200"/>
      </w:pPr>
      <w:r>
        <w:rPr>
          <w:rFonts w:hint="eastAsia"/>
        </w:rPr>
        <w:t>投标人名称(盖公章):</w:t>
      </w:r>
    </w:p>
    <w:p>
      <w:pPr>
        <w:tabs>
          <w:tab w:val="clear" w:pos="426"/>
        </w:tabs>
        <w:spacing w:line="300" w:lineRule="auto"/>
        <w:ind w:firstLine="420" w:firstLineChars="200"/>
      </w:pPr>
      <w:r>
        <w:rPr>
          <w:rFonts w:hint="eastAsia"/>
        </w:rPr>
        <w:t>投标人地址:</w:t>
      </w:r>
    </w:p>
    <w:p>
      <w:pPr>
        <w:tabs>
          <w:tab w:val="clear" w:pos="426"/>
        </w:tabs>
        <w:spacing w:line="300" w:lineRule="auto"/>
        <w:ind w:firstLine="420" w:firstLineChars="200"/>
      </w:pPr>
      <w:r>
        <w:rPr>
          <w:rFonts w:hint="eastAsia"/>
        </w:rPr>
        <w:t>电话:</w:t>
      </w:r>
    </w:p>
    <w:p>
      <w:pPr>
        <w:tabs>
          <w:tab w:val="clear" w:pos="426"/>
        </w:tabs>
        <w:spacing w:line="300" w:lineRule="auto"/>
        <w:ind w:firstLine="420" w:firstLineChars="200"/>
      </w:pPr>
      <w:r>
        <w:rPr>
          <w:rFonts w:hint="eastAsia"/>
        </w:rPr>
        <w:t>传真:</w:t>
      </w:r>
    </w:p>
    <w:p>
      <w:pPr>
        <w:tabs>
          <w:tab w:val="clear" w:pos="426"/>
        </w:tabs>
        <w:spacing w:line="300" w:lineRule="auto"/>
        <w:ind w:firstLine="420" w:firstLineChars="200"/>
      </w:pPr>
      <w:r>
        <w:rPr>
          <w:rFonts w:hint="eastAsia"/>
        </w:rPr>
        <w:t>法定代表人或投标人授权代表（签名或盖章）</w:t>
      </w:r>
    </w:p>
    <w:p>
      <w:pPr>
        <w:tabs>
          <w:tab w:val="clear" w:pos="426"/>
        </w:tabs>
        <w:spacing w:line="300" w:lineRule="auto"/>
        <w:ind w:firstLine="420" w:firstLineChars="200"/>
        <w:rPr>
          <w:bCs/>
        </w:rPr>
      </w:pPr>
    </w:p>
    <w:p>
      <w:pPr>
        <w:tabs>
          <w:tab w:val="clear" w:pos="426"/>
        </w:tabs>
        <w:spacing w:line="300" w:lineRule="auto"/>
        <w:ind w:firstLine="420" w:firstLineChars="200"/>
        <w:rPr>
          <w:bCs/>
        </w:rPr>
      </w:pPr>
    </w:p>
    <w:p>
      <w:pPr>
        <w:tabs>
          <w:tab w:val="clear" w:pos="426"/>
        </w:tabs>
        <w:spacing w:line="300" w:lineRule="auto"/>
        <w:ind w:firstLine="420" w:firstLineChars="200"/>
        <w:rPr>
          <w:bCs/>
        </w:rPr>
      </w:pPr>
      <w:r>
        <w:rPr>
          <w:rFonts w:hint="eastAsia"/>
          <w:bCs/>
        </w:rPr>
        <w:t>备注：</w:t>
      </w:r>
    </w:p>
    <w:p>
      <w:pPr>
        <w:tabs>
          <w:tab w:val="clear" w:pos="426"/>
        </w:tabs>
        <w:spacing w:line="300" w:lineRule="auto"/>
        <w:ind w:firstLine="420" w:firstLineChars="200"/>
        <w:rPr>
          <w:bCs/>
        </w:rPr>
      </w:pPr>
      <w:r>
        <w:rPr>
          <w:rFonts w:hint="eastAsia"/>
          <w:bCs/>
        </w:rPr>
        <w:t>1.根据《中华人民共和国政府采购法实施条例》第三十三条和《深圳财政委员会关于规范政府采购项目投标保证金和履约保证金管理的通知》的规定，考虑到不少投标人经常参与投标，为提供便利，避免频繁缴纳与退还投标保证金，市政府采供中心对频繁参与投标的供应商提供便捷措施，投标保证金可实行依法按时退还或者依申请退还的方式。</w:t>
      </w:r>
    </w:p>
    <w:p>
      <w:pPr>
        <w:tabs>
          <w:tab w:val="clear" w:pos="426"/>
        </w:tabs>
        <w:spacing w:line="300" w:lineRule="auto"/>
        <w:ind w:firstLine="420" w:firstLineChars="200"/>
        <w:rPr>
          <w:bCs/>
        </w:rPr>
      </w:pPr>
      <w:r>
        <w:rPr>
          <w:rFonts w:hint="eastAsia"/>
          <w:bCs/>
        </w:rPr>
        <w:t>2.代理机构将在本项目开标前，查询投标人状态和投标保证金缴纳情况。</w:t>
      </w:r>
    </w:p>
    <w:p>
      <w:pPr>
        <w:tabs>
          <w:tab w:val="clear" w:pos="426"/>
        </w:tabs>
        <w:spacing w:line="300" w:lineRule="auto"/>
        <w:ind w:firstLine="420" w:firstLineChars="200"/>
      </w:pPr>
      <w:r>
        <w:rPr>
          <w:rFonts w:hint="eastAsia"/>
          <w:bCs/>
        </w:rPr>
        <w:t>3.</w:t>
      </w:r>
      <w:r>
        <w:rPr>
          <w:rFonts w:hint="eastAsia"/>
        </w:rPr>
        <w:t>若投标人投标保证金被依法不予退还，及时补交，否则投标无效。</w:t>
      </w:r>
    </w:p>
    <w:p>
      <w:pPr>
        <w:tabs>
          <w:tab w:val="clear" w:pos="426"/>
        </w:tabs>
        <w:spacing w:line="300" w:lineRule="auto"/>
      </w:pPr>
    </w:p>
    <w:p>
      <w:pPr>
        <w:tabs>
          <w:tab w:val="clear" w:pos="426"/>
        </w:tabs>
        <w:spacing w:line="300" w:lineRule="auto"/>
      </w:pPr>
    </w:p>
    <w:p>
      <w:pPr>
        <w:tabs>
          <w:tab w:val="clear" w:pos="426"/>
        </w:tabs>
        <w:spacing w:line="300" w:lineRule="auto"/>
      </w:pPr>
    </w:p>
    <w:p>
      <w:pPr>
        <w:numPr>
          <w:ilvl w:val="0"/>
          <w:numId w:val="34"/>
        </w:numPr>
        <w:adjustRightInd/>
        <w:snapToGrid/>
        <w:spacing w:before="280" w:after="290" w:line="377" w:lineRule="auto"/>
        <w:outlineLvl w:val="2"/>
        <w:rPr>
          <w:b/>
          <w:sz w:val="24"/>
        </w:rPr>
      </w:pPr>
      <w:r>
        <w:rPr>
          <w:b/>
        </w:rPr>
        <w:br w:type="page"/>
      </w:r>
      <w:r>
        <w:rPr>
          <w:rFonts w:hint="eastAsia"/>
          <w:b/>
          <w:sz w:val="24"/>
        </w:rPr>
        <w:t>政府采购投标及履约承诺函</w:t>
      </w:r>
    </w:p>
    <w:p>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cs="Times New Roman"/>
          <w:bCs/>
          <w:kern w:val="2"/>
          <w:sz w:val="32"/>
          <w:szCs w:val="32"/>
        </w:rPr>
        <w:t>政府采购投标及履约承诺函</w:t>
      </w:r>
    </w:p>
    <w:p>
      <w:pPr>
        <w:tabs>
          <w:tab w:val="clear" w:pos="426"/>
        </w:tabs>
      </w:pPr>
    </w:p>
    <w:p>
      <w:pPr>
        <w:tabs>
          <w:tab w:val="clear" w:pos="426"/>
        </w:tabs>
      </w:pPr>
      <w:r>
        <w:rPr>
          <w:rFonts w:hint="eastAsia"/>
        </w:rPr>
        <w:t>深圳市深水水务咨询有限公司：</w:t>
      </w:r>
    </w:p>
    <w:p>
      <w:pPr>
        <w:tabs>
          <w:tab w:val="clear" w:pos="426"/>
        </w:tabs>
        <w:spacing w:before="120" w:beforeLines="50" w:line="240" w:lineRule="auto"/>
        <w:ind w:firstLine="424" w:firstLineChars="202"/>
      </w:pPr>
      <w:r>
        <w:rPr>
          <w:rFonts w:hint="eastAsia"/>
        </w:rPr>
        <w:t>关于贵公司</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日发布</w:t>
      </w:r>
      <w:r>
        <w:rPr>
          <w:u w:val="single"/>
        </w:rPr>
        <w:t xml:space="preserve">  </w:t>
      </w:r>
      <w:r>
        <w:rPr>
          <w:rFonts w:hint="eastAsia"/>
          <w:szCs w:val="21"/>
          <w:u w:val="single"/>
        </w:rPr>
        <w:t xml:space="preserve">（项目名称) </w:t>
      </w:r>
      <w:r>
        <w:rPr>
          <w:u w:val="single"/>
        </w:rPr>
        <w:t xml:space="preserve"> </w:t>
      </w:r>
      <w:r>
        <w:rPr>
          <w:rFonts w:hint="eastAsia"/>
        </w:rPr>
        <w:t>项目（项目编号：</w:t>
      </w:r>
      <w:r>
        <w:rPr>
          <w:rFonts w:hint="eastAsia"/>
          <w:u w:val="single"/>
        </w:rPr>
        <w:t xml:space="preserve">  （项目编号）  </w:t>
      </w:r>
      <w:r>
        <w:rPr>
          <w:rFonts w:hint="eastAsia"/>
        </w:rPr>
        <w:t>）的采购公告，本公司（企业）愿意参加投标，并声明：</w:t>
      </w:r>
    </w:p>
    <w:p>
      <w:pPr>
        <w:tabs>
          <w:tab w:val="clear" w:pos="426"/>
        </w:tabs>
        <w:spacing w:line="240" w:lineRule="auto"/>
        <w:ind w:firstLine="424" w:firstLineChars="202"/>
      </w:pPr>
      <w:r>
        <w:t>1.我公司本招标项目所提供的货物或服务未侵犯知识产权。</w:t>
      </w:r>
    </w:p>
    <w:p>
      <w:pPr>
        <w:tabs>
          <w:tab w:val="clear" w:pos="426"/>
        </w:tabs>
        <w:spacing w:line="240" w:lineRule="auto"/>
        <w:ind w:firstLine="426" w:firstLineChars="202"/>
        <w:rPr>
          <w:b/>
        </w:rPr>
      </w:pPr>
      <w:r>
        <w:rPr>
          <w:b/>
        </w:rPr>
        <w:t>2.我公司参与本项目投标前三年内，在经营活动中没有重大违法记录。</w:t>
      </w:r>
    </w:p>
    <w:p>
      <w:pPr>
        <w:tabs>
          <w:tab w:val="clear" w:pos="426"/>
        </w:tabs>
        <w:spacing w:line="240" w:lineRule="auto"/>
        <w:ind w:firstLine="426" w:firstLineChars="202"/>
        <w:rPr>
          <w:b/>
        </w:rPr>
      </w:pPr>
      <w:r>
        <w:rPr>
          <w:b/>
        </w:rPr>
        <w:t>3.我公司参与本项目政府采购活动时不存在被有关部门禁止参与政府采购活动且在有效期内的情况。</w:t>
      </w:r>
    </w:p>
    <w:p>
      <w:pPr>
        <w:tabs>
          <w:tab w:val="clear" w:pos="426"/>
        </w:tabs>
        <w:spacing w:line="240" w:lineRule="auto"/>
        <w:ind w:firstLine="426" w:firstLineChars="202"/>
        <w:rPr>
          <w:b/>
        </w:rPr>
      </w:pPr>
      <w:r>
        <w:rPr>
          <w:b/>
        </w:rPr>
        <w:t>4.我公司具备《中华人民共和国政府采购法》第二十二条规定的资质。</w:t>
      </w:r>
    </w:p>
    <w:p>
      <w:pPr>
        <w:tabs>
          <w:tab w:val="clear" w:pos="426"/>
        </w:tabs>
        <w:spacing w:line="240" w:lineRule="auto"/>
        <w:ind w:firstLine="426" w:firstLineChars="202"/>
        <w:rPr>
          <w:b/>
        </w:rPr>
      </w:pPr>
      <w:r>
        <w:rPr>
          <w:b/>
        </w:rPr>
        <w:t>5.我公司未被列入失信被执行人、重大税收违法案件当事人名单、政府采购严重违法失信行为记录名单</w:t>
      </w:r>
    </w:p>
    <w:p>
      <w:pPr>
        <w:tabs>
          <w:tab w:val="clear" w:pos="426"/>
        </w:tabs>
        <w:spacing w:line="240" w:lineRule="auto"/>
        <w:ind w:firstLine="424" w:firstLineChars="202"/>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tabs>
          <w:tab w:val="clear" w:pos="426"/>
        </w:tabs>
        <w:spacing w:line="240" w:lineRule="auto"/>
        <w:ind w:firstLine="424" w:firstLineChars="202"/>
      </w:pPr>
      <w:r>
        <w:t>7.我公司如果中标，做到守信，不偷工减料，依照本项目招标文件需求内容、签署的采购合同及本公司在投标中所作的一切承诺履约。项目验收达到全部指标合格，力争优良。</w:t>
      </w:r>
    </w:p>
    <w:p>
      <w:pPr>
        <w:tabs>
          <w:tab w:val="clear" w:pos="426"/>
        </w:tabs>
        <w:spacing w:line="240" w:lineRule="auto"/>
        <w:ind w:firstLine="424" w:firstLineChars="202"/>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pPr>
        <w:tabs>
          <w:tab w:val="clear" w:pos="426"/>
        </w:tabs>
        <w:spacing w:line="240" w:lineRule="auto"/>
        <w:ind w:firstLine="424" w:firstLineChars="202"/>
      </w:pPr>
      <w: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tabs>
          <w:tab w:val="clear" w:pos="426"/>
        </w:tabs>
        <w:spacing w:line="240" w:lineRule="auto"/>
        <w:ind w:firstLine="424" w:firstLineChars="202"/>
      </w:pPr>
      <w:r>
        <w:t>10.我公司承诺不非法转包、分包。</w:t>
      </w:r>
    </w:p>
    <w:p>
      <w:pPr>
        <w:tabs>
          <w:tab w:val="clear" w:pos="426"/>
        </w:tabs>
        <w:spacing w:line="240" w:lineRule="auto"/>
        <w:ind w:firstLine="424" w:firstLineChars="202"/>
      </w:pPr>
      <w:r>
        <w:rPr>
          <w:rFonts w:hint="eastAsia"/>
        </w:rPr>
        <w:t>以上承诺，如有违反，愿依照国家相关法律处理，并承担由此给采购人带来的损失。</w:t>
      </w:r>
    </w:p>
    <w:p>
      <w:pPr>
        <w:tabs>
          <w:tab w:val="clear" w:pos="426"/>
        </w:tabs>
        <w:spacing w:line="240" w:lineRule="auto"/>
        <w:ind w:firstLine="420"/>
      </w:pPr>
      <w:r>
        <w:rPr>
          <w:rFonts w:hint="eastAsia"/>
        </w:rPr>
        <w:t>特此声明！</w:t>
      </w:r>
    </w:p>
    <w:p>
      <w:pPr>
        <w:tabs>
          <w:tab w:val="clear" w:pos="426"/>
        </w:tabs>
        <w:spacing w:line="240" w:lineRule="auto"/>
        <w:ind w:firstLine="420"/>
      </w:pPr>
    </w:p>
    <w:p>
      <w:pPr>
        <w:tabs>
          <w:tab w:val="clear" w:pos="426"/>
        </w:tabs>
        <w:ind w:firstLine="420"/>
      </w:pPr>
    </w:p>
    <w:p>
      <w:pPr>
        <w:tabs>
          <w:tab w:val="clear" w:pos="426"/>
        </w:tabs>
        <w:ind w:firstLine="420"/>
      </w:pPr>
    </w:p>
    <w:p>
      <w:pPr>
        <w:tabs>
          <w:tab w:val="clear" w:pos="426"/>
        </w:tabs>
        <w:ind w:firstLine="420"/>
        <w:rPr>
          <w:u w:val="single"/>
        </w:rPr>
      </w:pPr>
      <w:r>
        <w:rPr>
          <w:rFonts w:hint="eastAsia"/>
        </w:rPr>
        <w:t>单位名称：</w:t>
      </w:r>
      <w:r>
        <w:rPr>
          <w:rFonts w:hint="eastAsia"/>
          <w:u w:val="single"/>
        </w:rPr>
        <w:t xml:space="preserve">                                                             </w:t>
      </w:r>
    </w:p>
    <w:p>
      <w:pPr>
        <w:tabs>
          <w:tab w:val="clear" w:pos="426"/>
        </w:tabs>
        <w:ind w:firstLine="420"/>
        <w:rPr>
          <w:u w:val="single"/>
        </w:rPr>
      </w:pPr>
      <w:r>
        <w:rPr>
          <w:rFonts w:hint="eastAsia"/>
        </w:rPr>
        <w:t>法定代表人或投标人授权代表（签名或盖章）：</w:t>
      </w:r>
      <w:r>
        <w:rPr>
          <w:rFonts w:hint="eastAsia"/>
          <w:u w:val="single"/>
        </w:rPr>
        <w:t xml:space="preserve">                             </w:t>
      </w:r>
    </w:p>
    <w:p>
      <w:pPr>
        <w:tabs>
          <w:tab w:val="clear" w:pos="426"/>
        </w:tabs>
        <w:ind w:firstLine="420"/>
        <w:rPr>
          <w:u w:val="single"/>
        </w:rPr>
      </w:pPr>
      <w:r>
        <w:rPr>
          <w:rFonts w:hint="eastAsia"/>
        </w:rPr>
        <w:t>单位地址：</w:t>
      </w:r>
      <w:r>
        <w:rPr>
          <w:rFonts w:hint="eastAsia"/>
          <w:u w:val="single"/>
        </w:rPr>
        <w:t xml:space="preserve">                                                             </w:t>
      </w:r>
    </w:p>
    <w:p>
      <w:pPr>
        <w:tabs>
          <w:tab w:val="clear" w:pos="426"/>
        </w:tabs>
        <w:ind w:firstLine="420"/>
        <w:rPr>
          <w:u w:val="single"/>
        </w:rPr>
      </w:pPr>
      <w:r>
        <w:rPr>
          <w:rFonts w:hint="eastAsia"/>
        </w:rPr>
        <w:t>单位公章：</w:t>
      </w:r>
      <w:r>
        <w:rPr>
          <w:rFonts w:hint="eastAsia"/>
          <w:u w:val="single"/>
        </w:rPr>
        <w:t xml:space="preserve">                                                             </w:t>
      </w:r>
    </w:p>
    <w:p>
      <w:pPr>
        <w:tabs>
          <w:tab w:val="clear" w:pos="426"/>
        </w:tabs>
        <w:ind w:firstLine="420"/>
        <w:rPr>
          <w:u w:val="single"/>
        </w:rPr>
      </w:pPr>
      <w:r>
        <w:rPr>
          <w:rFonts w:hint="eastAsia"/>
        </w:rPr>
        <w:t>邮政编码：</w:t>
      </w:r>
      <w:r>
        <w:rPr>
          <w:rFonts w:hint="eastAsia"/>
          <w:u w:val="single"/>
        </w:rPr>
        <w:t xml:space="preserve">                             </w:t>
      </w:r>
      <w:r>
        <w:rPr>
          <w:rFonts w:hint="eastAsia"/>
        </w:rPr>
        <w:t>日期：</w:t>
      </w:r>
      <w:r>
        <w:rPr>
          <w:rFonts w:hint="eastAsia"/>
          <w:u w:val="single"/>
        </w:rPr>
        <w:t xml:space="preserve">                          </w:t>
      </w:r>
    </w:p>
    <w:p>
      <w:pPr>
        <w:tabs>
          <w:tab w:val="clear" w:pos="426"/>
        </w:tabs>
        <w:ind w:firstLine="420" w:firstLineChars="200"/>
        <w:rPr>
          <w:u w:val="single"/>
        </w:rPr>
      </w:pPr>
      <w:r>
        <w:rPr>
          <w:rFonts w:hint="eastAsia"/>
        </w:rPr>
        <w:t>联系电话：</w:t>
      </w:r>
      <w:r>
        <w:rPr>
          <w:rFonts w:hint="eastAsia"/>
          <w:u w:val="single"/>
        </w:rPr>
        <w:t xml:space="preserve">                               </w:t>
      </w:r>
      <w:bookmarkStart w:id="42" w:name="_Toc50736477"/>
      <w:bookmarkStart w:id="43" w:name="_Toc50737297"/>
      <w:bookmarkStart w:id="44" w:name="_Toc50737329"/>
      <w:bookmarkStart w:id="45" w:name="_Toc52165081"/>
      <w:bookmarkStart w:id="46" w:name="_Toc275865607"/>
      <w:bookmarkStart w:id="47" w:name="_Toc480754205"/>
      <w:bookmarkStart w:id="48" w:name="_Toc52165080"/>
      <w:bookmarkStart w:id="49" w:name="_Toc50691034"/>
      <w:bookmarkStart w:id="50" w:name="_Toc50736476"/>
      <w:bookmarkStart w:id="51" w:name="_Toc50737296"/>
      <w:bookmarkStart w:id="52" w:name="_Toc50737328"/>
      <w:r>
        <w:rPr>
          <w:rFonts w:hint="eastAsia"/>
          <w:u w:val="single"/>
        </w:rPr>
        <w:t xml:space="preserve">                              </w:t>
      </w:r>
    </w:p>
    <w:p>
      <w:pPr>
        <w:tabs>
          <w:tab w:val="clear" w:pos="426"/>
        </w:tabs>
        <w:rPr>
          <w:u w:val="single"/>
        </w:rPr>
      </w:pPr>
    </w:p>
    <w:p>
      <w:pPr>
        <w:numPr>
          <w:ilvl w:val="0"/>
          <w:numId w:val="34"/>
        </w:numPr>
        <w:adjustRightInd/>
        <w:snapToGrid/>
        <w:spacing w:before="280" w:after="290" w:line="377" w:lineRule="auto"/>
        <w:outlineLvl w:val="2"/>
        <w:rPr>
          <w:b/>
          <w:sz w:val="24"/>
        </w:rPr>
      </w:pPr>
      <w:r>
        <w:rPr>
          <w:sz w:val="28"/>
          <w:szCs w:val="28"/>
        </w:rPr>
        <w:br w:type="page"/>
      </w:r>
      <w:r>
        <w:rPr>
          <w:rFonts w:hint="eastAsia"/>
          <w:b/>
          <w:sz w:val="24"/>
        </w:rPr>
        <w:t>法定代表人授权委托书、法定代表人证明书</w:t>
      </w:r>
    </w:p>
    <w:p>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cs="Times New Roman"/>
          <w:bCs/>
          <w:kern w:val="2"/>
          <w:sz w:val="32"/>
          <w:szCs w:val="32"/>
        </w:rPr>
        <w:t>法定代表人授权委托书</w:t>
      </w:r>
      <w:bookmarkEnd w:id="42"/>
      <w:bookmarkEnd w:id="43"/>
      <w:bookmarkEnd w:id="44"/>
      <w:bookmarkEnd w:id="45"/>
      <w:bookmarkEnd w:id="46"/>
      <w:bookmarkEnd w:id="47"/>
    </w:p>
    <w:p>
      <w:pPr>
        <w:pStyle w:val="24"/>
        <w:tabs>
          <w:tab w:val="clear" w:pos="426"/>
        </w:tabs>
        <w:ind w:firstLine="420" w:firstLineChars="200"/>
      </w:pPr>
    </w:p>
    <w:p>
      <w:pPr>
        <w:pStyle w:val="24"/>
        <w:tabs>
          <w:tab w:val="clear" w:pos="426"/>
        </w:tabs>
        <w:ind w:firstLine="420" w:firstLineChars="200"/>
      </w:pPr>
      <w:r>
        <w:rPr>
          <w:rFonts w:hint="eastAsia"/>
        </w:rPr>
        <w:t>本授权委托书声明：注册于</w:t>
      </w:r>
      <w:r>
        <w:rPr>
          <w:rFonts w:hint="eastAsia"/>
          <w:u w:val="single"/>
        </w:rPr>
        <w:t xml:space="preserve"> （投标人地址）  </w:t>
      </w:r>
      <w:r>
        <w:rPr>
          <w:rFonts w:hint="eastAsia"/>
        </w:rPr>
        <w:t>的</w:t>
      </w:r>
      <w:r>
        <w:rPr>
          <w:rFonts w:hint="eastAsia"/>
          <w:u w:val="single"/>
        </w:rPr>
        <w:t xml:space="preserve">  （投标人名称）    </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（项目名称、项目编号</w:t>
      </w:r>
      <w:r>
        <w:rPr>
          <w:rFonts w:hint="eastAsia"/>
        </w:rPr>
        <w:t>）的招投标活动，采购合同的签订、执行、完成和售后服务，作为投标人代表以我方的名义处理一切与之有关的事务。</w:t>
      </w:r>
    </w:p>
    <w:p>
      <w:pPr>
        <w:pStyle w:val="24"/>
        <w:tabs>
          <w:tab w:val="clear" w:pos="426"/>
        </w:tabs>
        <w:ind w:firstLine="420" w:firstLineChars="200"/>
      </w:pPr>
      <w:r>
        <w:rPr>
          <w:rFonts w:hint="eastAsia"/>
        </w:rPr>
        <w:t>被授权人（投标人授权代表）无转委托权限。</w:t>
      </w:r>
    </w:p>
    <w:p>
      <w:pPr>
        <w:tabs>
          <w:tab w:val="clear" w:pos="426"/>
        </w:tabs>
        <w:ind w:firstLine="420" w:firstLineChars="200"/>
        <w:rPr>
          <w:szCs w:val="21"/>
        </w:rPr>
      </w:pPr>
      <w:r>
        <w:rPr>
          <w:rFonts w:hint="eastAsia"/>
          <w:szCs w:val="21"/>
        </w:rPr>
        <w:t>本授权书自法定代表人签字之日起生效，特此声明。</w:t>
      </w:r>
    </w:p>
    <w:p>
      <w:pPr>
        <w:tabs>
          <w:tab w:val="clear" w:pos="426"/>
        </w:tabs>
        <w:ind w:firstLine="422" w:firstLineChars="200"/>
        <w:rPr>
          <w:b/>
          <w:szCs w:val="21"/>
        </w:rPr>
      </w:pPr>
      <w:r>
        <w:rPr>
          <w:rFonts w:hint="eastAsia"/>
          <w:b/>
          <w:szCs w:val="21"/>
        </w:rPr>
        <w:t>随附《法定代表人证明》</w:t>
      </w:r>
    </w:p>
    <w:p>
      <w:pPr>
        <w:tabs>
          <w:tab w:val="clear" w:pos="426"/>
        </w:tabs>
        <w:ind w:firstLine="422" w:firstLineChars="200"/>
        <w:rPr>
          <w:b/>
          <w:szCs w:val="21"/>
        </w:rPr>
      </w:pPr>
    </w:p>
    <w:p>
      <w:pPr>
        <w:tabs>
          <w:tab w:val="clear" w:pos="426"/>
        </w:tabs>
        <w:ind w:firstLine="422" w:firstLineChars="200"/>
        <w:rPr>
          <w:b/>
          <w:szCs w:val="21"/>
        </w:rPr>
      </w:pPr>
    </w:p>
    <w:p>
      <w:pPr>
        <w:tabs>
          <w:tab w:val="clear" w:pos="426"/>
        </w:tabs>
        <w:ind w:firstLine="422" w:firstLineChars="200"/>
        <w:rPr>
          <w:b/>
          <w:szCs w:val="21"/>
        </w:rPr>
      </w:pPr>
    </w:p>
    <w:p>
      <w:pPr>
        <w:tabs>
          <w:tab w:val="clear" w:pos="426"/>
        </w:tabs>
        <w:ind w:firstLine="424" w:firstLineChars="202"/>
        <w:rPr>
          <w:szCs w:val="21"/>
          <w:u w:val="single"/>
        </w:rPr>
      </w:pPr>
      <w:r>
        <w:rPr>
          <w:rFonts w:hint="eastAsia"/>
          <w:szCs w:val="21"/>
        </w:rPr>
        <w:t>投标人名称（单位盖</w:t>
      </w:r>
      <w:r>
        <w:rPr>
          <w:rFonts w:hint="eastAsia"/>
          <w:spacing w:val="4"/>
          <w:szCs w:val="21"/>
        </w:rPr>
        <w:t>公章</w:t>
      </w:r>
      <w:r>
        <w:rPr>
          <w:rFonts w:hint="eastAsia"/>
          <w:szCs w:val="21"/>
        </w:rPr>
        <w:t>）：</w:t>
      </w:r>
      <w:r>
        <w:rPr>
          <w:rFonts w:hint="eastAsia"/>
          <w:szCs w:val="21"/>
          <w:u w:val="single"/>
        </w:rPr>
        <w:t xml:space="preserve">                                                     </w:t>
      </w:r>
    </w:p>
    <w:p>
      <w:pPr>
        <w:tabs>
          <w:tab w:val="clear" w:pos="426"/>
        </w:tabs>
        <w:ind w:firstLine="424" w:firstLineChars="202"/>
        <w:rPr>
          <w:szCs w:val="21"/>
          <w:u w:val="single"/>
        </w:rPr>
      </w:pPr>
      <w:r>
        <w:rPr>
          <w:rFonts w:hint="eastAsia"/>
          <w:szCs w:val="21"/>
        </w:rPr>
        <w:t>地      址：</w:t>
      </w:r>
      <w:r>
        <w:rPr>
          <w:rFonts w:hint="eastAsia"/>
          <w:szCs w:val="21"/>
          <w:u w:val="single"/>
        </w:rPr>
        <w:t xml:space="preserve">                                                                   </w:t>
      </w:r>
    </w:p>
    <w:p>
      <w:pPr>
        <w:tabs>
          <w:tab w:val="clear" w:pos="426"/>
        </w:tabs>
        <w:ind w:firstLine="424" w:firstLineChars="202"/>
        <w:rPr>
          <w:szCs w:val="21"/>
        </w:rPr>
      </w:pPr>
      <w:r>
        <w:rPr>
          <w:rFonts w:hint="eastAsia"/>
          <w:szCs w:val="21"/>
        </w:rPr>
        <w:t>法定代表人（签字或盖章）：</w:t>
      </w:r>
      <w:r>
        <w:rPr>
          <w:rFonts w:hint="eastAsia"/>
          <w:szCs w:val="21"/>
          <w:u w:val="single"/>
        </w:rPr>
        <w:t xml:space="preserve">                      </w:t>
      </w:r>
      <w:r>
        <w:rPr>
          <w:rFonts w:hint="eastAsia"/>
          <w:szCs w:val="21"/>
        </w:rPr>
        <w:t xml:space="preserve"> 签字日期：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pPr>
        <w:tabs>
          <w:tab w:val="clear" w:pos="426"/>
        </w:tabs>
        <w:ind w:firstLine="424" w:firstLineChars="202"/>
        <w:rPr>
          <w:szCs w:val="21"/>
        </w:rPr>
      </w:pPr>
      <w:r>
        <w:rPr>
          <w:rFonts w:hint="eastAsia"/>
          <w:szCs w:val="21"/>
        </w:rPr>
        <w:t>被授权人（投标人授权代表）（签字或盖章）：</w:t>
      </w:r>
      <w:r>
        <w:rPr>
          <w:rFonts w:hint="eastAsia"/>
          <w:szCs w:val="21"/>
          <w:u w:val="single"/>
        </w:rPr>
        <w:t xml:space="preserve">                                    </w:t>
      </w:r>
      <w:r>
        <w:rPr>
          <w:rFonts w:hint="eastAsia"/>
          <w:szCs w:val="21"/>
        </w:rPr>
        <w:t xml:space="preserve"> </w:t>
      </w:r>
    </w:p>
    <w:p>
      <w:pPr>
        <w:tabs>
          <w:tab w:val="clear" w:pos="426"/>
        </w:tabs>
        <w:ind w:firstLine="424" w:firstLineChars="202"/>
        <w:rPr>
          <w:szCs w:val="21"/>
        </w:rPr>
      </w:pPr>
    </w:p>
    <w:p>
      <w:pPr>
        <w:tabs>
          <w:tab w:val="clear" w:pos="426"/>
        </w:tabs>
        <w:ind w:firstLine="424" w:firstLineChars="202"/>
        <w:rPr>
          <w:szCs w:val="21"/>
        </w:rPr>
      </w:pPr>
      <w:r>
        <w:rPr>
          <w:rFonts w:hint="eastAsia"/>
          <w:szCs w:val="21"/>
        </w:rPr>
        <w:t>附：被授权人身份证复印件：</w:t>
      </w:r>
    </w:p>
    <w:p>
      <w:pPr>
        <w:tabs>
          <w:tab w:val="clear" w:pos="426"/>
        </w:tabs>
        <w:ind w:firstLine="424" w:firstLineChars="202"/>
        <w:rPr>
          <w:szCs w:val="21"/>
        </w:rPr>
      </w:pPr>
    </w:p>
    <w:bookmarkEnd w:id="48"/>
    <w:bookmarkEnd w:id="49"/>
    <w:bookmarkEnd w:id="50"/>
    <w:bookmarkEnd w:id="51"/>
    <w:bookmarkEnd w:id="52"/>
    <w:p>
      <w:pPr>
        <w:tabs>
          <w:tab w:val="clear" w:pos="426"/>
        </w:tabs>
        <w:spacing w:line="300" w:lineRule="auto"/>
        <w:jc w:val="center"/>
      </w:pPr>
      <w:r>
        <w:br w:type="page"/>
      </w:r>
    </w:p>
    <w:p>
      <w:pPr>
        <w:widowControl w:val="0"/>
        <w:shd w:val="clear" w:color="auto" w:fill="auto"/>
        <w:tabs>
          <w:tab w:val="clear" w:pos="426"/>
        </w:tabs>
        <w:adjustRightInd/>
        <w:snapToGrid/>
        <w:spacing w:line="300" w:lineRule="auto"/>
        <w:jc w:val="center"/>
        <w:rPr>
          <w:rFonts w:cs="Times New Roman"/>
          <w:bCs/>
          <w:kern w:val="2"/>
          <w:sz w:val="32"/>
          <w:szCs w:val="32"/>
        </w:rPr>
      </w:pPr>
    </w:p>
    <w:p>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cs="Times New Roman"/>
          <w:bCs/>
          <w:kern w:val="2"/>
          <w:sz w:val="32"/>
          <w:szCs w:val="32"/>
        </w:rPr>
        <w:t>法定代表人证明书</w:t>
      </w:r>
    </w:p>
    <w:p>
      <w:pPr>
        <w:tabs>
          <w:tab w:val="clear" w:pos="426"/>
        </w:tabs>
        <w:spacing w:line="480" w:lineRule="auto"/>
        <w:ind w:firstLine="424" w:firstLineChars="202"/>
        <w:rPr>
          <w:u w:val="single"/>
        </w:rPr>
      </w:pPr>
    </w:p>
    <w:p>
      <w:pPr>
        <w:tabs>
          <w:tab w:val="clear" w:pos="426"/>
        </w:tabs>
        <w:spacing w:line="480" w:lineRule="auto"/>
        <w:ind w:firstLine="424" w:firstLineChars="202"/>
      </w:pPr>
      <w:r>
        <w:rPr>
          <w:rFonts w:hint="eastAsia"/>
          <w:u w:val="single"/>
        </w:rPr>
        <w:t>__________</w:t>
      </w:r>
      <w:r>
        <w:rPr>
          <w:rFonts w:hint="eastAsia"/>
        </w:rPr>
        <w:t>同志，现任我单位</w:t>
      </w:r>
      <w:r>
        <w:rPr>
          <w:u w:val="single"/>
        </w:rPr>
        <w:t xml:space="preserve">         </w:t>
      </w:r>
      <w:r>
        <w:rPr>
          <w:rFonts w:hint="eastAsia"/>
        </w:rPr>
        <w:t>职务，为法定代表人，特此证明。</w:t>
      </w:r>
    </w:p>
    <w:p>
      <w:pPr>
        <w:tabs>
          <w:tab w:val="clear" w:pos="426"/>
        </w:tabs>
        <w:spacing w:line="480" w:lineRule="auto"/>
        <w:ind w:firstLine="424" w:firstLineChars="202"/>
      </w:pPr>
      <w:r>
        <w:rPr>
          <w:rFonts w:hint="eastAsia"/>
        </w:rPr>
        <w:t>本证明书自签发之日起生效，有效期与本公司投标文件中标注的投标有效期相同。</w:t>
      </w:r>
    </w:p>
    <w:p>
      <w:pPr>
        <w:tabs>
          <w:tab w:val="clear" w:pos="426"/>
        </w:tabs>
        <w:spacing w:line="480" w:lineRule="auto"/>
        <w:ind w:firstLine="424" w:firstLineChars="202"/>
      </w:pPr>
      <w:r>
        <w:rPr>
          <w:rFonts w:hint="eastAsia"/>
        </w:rPr>
        <w:t>附：</w:t>
      </w:r>
    </w:p>
    <w:p>
      <w:pPr>
        <w:tabs>
          <w:tab w:val="clear" w:pos="426"/>
        </w:tabs>
        <w:spacing w:line="480" w:lineRule="auto"/>
        <w:ind w:firstLine="424" w:firstLineChars="202"/>
      </w:pPr>
      <w:r>
        <w:rPr>
          <w:rFonts w:hint="eastAsia"/>
        </w:rPr>
        <w:t>营业执照（注册号）：</w:t>
      </w:r>
      <w:r>
        <w:rPr>
          <w:rFonts w:hint="eastAsia"/>
          <w:u w:val="single"/>
        </w:rPr>
        <w:t xml:space="preserve">                                               </w:t>
      </w:r>
    </w:p>
    <w:p>
      <w:pPr>
        <w:tabs>
          <w:tab w:val="clear" w:pos="426"/>
        </w:tabs>
        <w:spacing w:line="480" w:lineRule="auto"/>
        <w:ind w:firstLine="424" w:firstLineChars="202"/>
        <w:rPr>
          <w:u w:val="single"/>
        </w:rPr>
      </w:pPr>
      <w:r>
        <w:rPr>
          <w:rFonts w:hint="eastAsia"/>
        </w:rPr>
        <w:t>经济性质：</w:t>
      </w:r>
      <w:r>
        <w:rPr>
          <w:rFonts w:hint="eastAsia"/>
          <w:u w:val="single"/>
        </w:rPr>
        <w:t xml:space="preserve">                                                         </w:t>
      </w:r>
    </w:p>
    <w:p>
      <w:pPr>
        <w:tabs>
          <w:tab w:val="clear" w:pos="426"/>
        </w:tabs>
        <w:spacing w:line="480" w:lineRule="auto"/>
        <w:ind w:firstLine="424" w:firstLineChars="202"/>
        <w:rPr>
          <w:u w:val="single"/>
        </w:rPr>
      </w:pPr>
      <w:r>
        <w:rPr>
          <w:rFonts w:hint="eastAsia"/>
        </w:rPr>
        <w:t>主营（产）：</w:t>
      </w:r>
      <w:r>
        <w:rPr>
          <w:rFonts w:hint="eastAsia"/>
          <w:u w:val="single"/>
        </w:rPr>
        <w:t xml:space="preserve">                                                       </w:t>
      </w:r>
    </w:p>
    <w:p>
      <w:pPr>
        <w:tabs>
          <w:tab w:val="clear" w:pos="426"/>
        </w:tabs>
        <w:spacing w:line="480" w:lineRule="auto"/>
        <w:ind w:firstLine="424" w:firstLineChars="202"/>
        <w:rPr>
          <w:u w:val="single"/>
        </w:rPr>
      </w:pPr>
      <w:r>
        <w:rPr>
          <w:rFonts w:hint="eastAsia"/>
        </w:rPr>
        <w:t>兼营（产）：</w:t>
      </w:r>
      <w:r>
        <w:rPr>
          <w:rFonts w:hint="eastAsia"/>
          <w:u w:val="single"/>
        </w:rPr>
        <w:t xml:space="preserve">                                                       </w:t>
      </w:r>
    </w:p>
    <w:p>
      <w:pPr>
        <w:tabs>
          <w:tab w:val="clear" w:pos="426"/>
        </w:tabs>
        <w:ind w:firstLine="424" w:firstLineChars="202"/>
      </w:pPr>
    </w:p>
    <w:p>
      <w:pPr>
        <w:tabs>
          <w:tab w:val="clear" w:pos="426"/>
        </w:tabs>
        <w:ind w:firstLine="424" w:firstLineChars="202"/>
        <w:rPr>
          <w:szCs w:val="21"/>
        </w:rPr>
      </w:pPr>
      <w:r>
        <w:rPr>
          <w:rFonts w:hint="eastAsia"/>
          <w:szCs w:val="21"/>
        </w:rPr>
        <w:t>附：法定代表人身份证复印件：</w:t>
      </w:r>
    </w:p>
    <w:p>
      <w:pPr>
        <w:tabs>
          <w:tab w:val="clear" w:pos="426"/>
        </w:tabs>
        <w:ind w:firstLine="424" w:firstLineChars="202"/>
        <w:rPr>
          <w:szCs w:val="21"/>
        </w:rPr>
      </w:pPr>
    </w:p>
    <w:p>
      <w:pPr>
        <w:tabs>
          <w:tab w:val="clear" w:pos="426"/>
        </w:tabs>
        <w:ind w:firstLine="424" w:firstLineChars="202"/>
        <w:rPr>
          <w:szCs w:val="21"/>
        </w:rPr>
      </w:pPr>
    </w:p>
    <w:p>
      <w:pPr>
        <w:tabs>
          <w:tab w:val="clear" w:pos="426"/>
        </w:tabs>
        <w:ind w:firstLine="424" w:firstLineChars="202"/>
        <w:rPr>
          <w:szCs w:val="21"/>
        </w:rPr>
      </w:pPr>
    </w:p>
    <w:p>
      <w:pPr>
        <w:tabs>
          <w:tab w:val="clear" w:pos="426"/>
        </w:tabs>
        <w:spacing w:line="500" w:lineRule="exact"/>
        <w:ind w:left="3826" w:leftChars="1822"/>
        <w:rPr>
          <w:u w:val="single"/>
        </w:rPr>
      </w:pPr>
      <w:r>
        <w:rPr>
          <w:rFonts w:hint="eastAsia"/>
        </w:rPr>
        <w:t>投标人名称（单位盖</w:t>
      </w:r>
      <w:r>
        <w:rPr>
          <w:rFonts w:hint="eastAsia"/>
          <w:spacing w:val="4"/>
        </w:rPr>
        <w:t>公章</w:t>
      </w:r>
      <w:r>
        <w:rPr>
          <w:rFonts w:hint="eastAsia"/>
        </w:rPr>
        <w:t>）：</w:t>
      </w:r>
      <w:r>
        <w:rPr>
          <w:rFonts w:hint="eastAsia"/>
          <w:u w:val="single"/>
        </w:rPr>
        <w:t xml:space="preserve">                     </w:t>
      </w:r>
    </w:p>
    <w:p>
      <w:pPr>
        <w:tabs>
          <w:tab w:val="clear" w:pos="426"/>
        </w:tabs>
        <w:spacing w:line="500" w:lineRule="exact"/>
        <w:ind w:left="3826" w:leftChars="1822"/>
        <w:rPr>
          <w:u w:val="single"/>
        </w:rPr>
      </w:pPr>
      <w:r>
        <w:rPr>
          <w:rFonts w:hint="eastAsia"/>
        </w:rPr>
        <w:t>地址：</w:t>
      </w:r>
      <w:r>
        <w:rPr>
          <w:rFonts w:hint="eastAsia"/>
          <w:u w:val="single"/>
        </w:rPr>
        <w:t xml:space="preserve">                                           </w:t>
      </w:r>
    </w:p>
    <w:p>
      <w:pPr>
        <w:tabs>
          <w:tab w:val="clear" w:pos="426"/>
        </w:tabs>
        <w:spacing w:line="500" w:lineRule="exact"/>
        <w:ind w:left="3826" w:leftChars="1822"/>
        <w:rPr>
          <w:u w:val="single"/>
        </w:rPr>
      </w:pPr>
      <w:r>
        <w:rPr>
          <w:rFonts w:hint="eastAsia"/>
        </w:rPr>
        <w:t>签发日期：</w:t>
      </w:r>
      <w:r>
        <w:rPr>
          <w:rFonts w:hint="eastAsia"/>
          <w:u w:val="single"/>
        </w:rPr>
        <w:t xml:space="preserve">                                       </w:t>
      </w:r>
    </w:p>
    <w:p>
      <w:pPr>
        <w:tabs>
          <w:tab w:val="clear" w:pos="426"/>
        </w:tabs>
        <w:spacing w:line="500" w:lineRule="exact"/>
        <w:ind w:left="3826" w:leftChars="1822"/>
        <w:rPr>
          <w:b/>
          <w:bCs/>
          <w:u w:val="single"/>
        </w:rPr>
      </w:pPr>
    </w:p>
    <w:p>
      <w:pPr>
        <w:numPr>
          <w:ilvl w:val="0"/>
          <w:numId w:val="34"/>
        </w:numPr>
        <w:adjustRightInd/>
        <w:snapToGrid/>
        <w:spacing w:before="280" w:after="290" w:line="377" w:lineRule="auto"/>
        <w:outlineLvl w:val="2"/>
        <w:rPr>
          <w:b/>
          <w:sz w:val="24"/>
        </w:rPr>
      </w:pPr>
      <w:r>
        <w:br w:type="page"/>
      </w:r>
      <w:r>
        <w:rPr>
          <w:rFonts w:hint="eastAsia"/>
          <w:b/>
          <w:sz w:val="24"/>
        </w:rPr>
        <w:t>投标人基本情况表</w:t>
      </w:r>
    </w:p>
    <w:p>
      <w:pPr>
        <w:widowControl w:val="0"/>
        <w:shd w:val="clear" w:color="auto" w:fill="auto"/>
        <w:tabs>
          <w:tab w:val="clear" w:pos="426"/>
        </w:tabs>
        <w:adjustRightInd/>
        <w:snapToGrid/>
        <w:spacing w:line="300" w:lineRule="auto"/>
        <w:jc w:val="center"/>
        <w:rPr>
          <w:rFonts w:cs="Times New Roman"/>
          <w:bCs/>
          <w:kern w:val="2"/>
          <w:sz w:val="32"/>
          <w:szCs w:val="32"/>
        </w:rPr>
      </w:pPr>
      <w:bookmarkStart w:id="53" w:name="_Toc275865616"/>
      <w:bookmarkStart w:id="54" w:name="_Toc480756074"/>
      <w:bookmarkStart w:id="55" w:name="_Toc173553182"/>
      <w:bookmarkStart w:id="56" w:name="_Toc480755928"/>
      <w:bookmarkStart w:id="57" w:name="_Toc480789478"/>
      <w:bookmarkStart w:id="58" w:name="_Toc480754207"/>
      <w:r>
        <w:rPr>
          <w:rFonts w:hint="eastAsia" w:cs="Times New Roman"/>
          <w:bCs/>
          <w:kern w:val="2"/>
          <w:sz w:val="32"/>
          <w:szCs w:val="32"/>
        </w:rPr>
        <w:t>投标人基本情况表</w:t>
      </w:r>
      <w:bookmarkEnd w:id="53"/>
      <w:bookmarkEnd w:id="54"/>
      <w:bookmarkEnd w:id="55"/>
      <w:bookmarkEnd w:id="56"/>
      <w:bookmarkEnd w:id="57"/>
      <w:bookmarkEnd w:id="58"/>
    </w:p>
    <w:p>
      <w:pPr>
        <w:widowControl w:val="0"/>
        <w:shd w:val="clear" w:color="auto" w:fill="auto"/>
        <w:tabs>
          <w:tab w:val="clear" w:pos="426"/>
        </w:tabs>
        <w:adjustRightInd/>
        <w:snapToGrid/>
        <w:rPr>
          <w:rFonts w:cs="Arial"/>
          <w:b/>
          <w:szCs w:val="21"/>
        </w:rPr>
      </w:pPr>
      <w:r>
        <w:rPr>
          <w:rFonts w:hint="eastAsia" w:cs="Arial"/>
          <w:b/>
          <w:szCs w:val="21"/>
        </w:rPr>
        <w:t>一、</w:t>
      </w:r>
      <w:r>
        <w:rPr>
          <w:rFonts w:cs="Arial"/>
          <w:b/>
          <w:szCs w:val="21"/>
        </w:rPr>
        <w:t>公司基本情况</w:t>
      </w:r>
    </w:p>
    <w:p>
      <w:pPr>
        <w:widowControl w:val="0"/>
        <w:numPr>
          <w:ilvl w:val="1"/>
          <w:numId w:val="35"/>
        </w:numPr>
        <w:shd w:val="clear" w:color="auto" w:fill="auto"/>
        <w:tabs>
          <w:tab w:val="clear" w:pos="426"/>
        </w:tabs>
        <w:adjustRightInd/>
        <w:snapToGrid/>
        <w:ind w:left="0" w:firstLine="426"/>
        <w:rPr>
          <w:rFonts w:cs="Arial"/>
          <w:szCs w:val="21"/>
        </w:rPr>
      </w:pPr>
      <w:r>
        <w:rPr>
          <w:rFonts w:cs="Arial"/>
          <w:szCs w:val="21"/>
        </w:rPr>
        <w:t>公司名称：</w:t>
      </w:r>
      <w:r>
        <w:rPr>
          <w:rFonts w:cs="Arial"/>
          <w:szCs w:val="21"/>
          <w:u w:val="single"/>
        </w:rPr>
        <w:t xml:space="preserve">                              </w:t>
      </w:r>
      <w:r>
        <w:rPr>
          <w:rFonts w:cs="Arial"/>
          <w:szCs w:val="21"/>
        </w:rPr>
        <w:t xml:space="preserve">  电话号码：</w:t>
      </w:r>
      <w:r>
        <w:rPr>
          <w:rFonts w:cs="Arial"/>
          <w:szCs w:val="21"/>
          <w:u w:val="single"/>
        </w:rPr>
        <w:t xml:space="preserve">                            </w:t>
      </w:r>
    </w:p>
    <w:p>
      <w:pPr>
        <w:widowControl w:val="0"/>
        <w:numPr>
          <w:ilvl w:val="1"/>
          <w:numId w:val="35"/>
        </w:numPr>
        <w:shd w:val="clear" w:color="auto" w:fill="auto"/>
        <w:tabs>
          <w:tab w:val="clear" w:pos="426"/>
        </w:tabs>
        <w:adjustRightInd/>
        <w:snapToGrid/>
        <w:ind w:left="0" w:firstLine="426"/>
        <w:rPr>
          <w:rFonts w:cs="Arial"/>
          <w:szCs w:val="21"/>
        </w:rPr>
      </w:pPr>
      <w:r>
        <w:rPr>
          <w:rFonts w:cs="Arial"/>
          <w:szCs w:val="21"/>
        </w:rPr>
        <w:t>地    址：</w:t>
      </w:r>
      <w:r>
        <w:rPr>
          <w:rFonts w:cs="Arial"/>
          <w:szCs w:val="21"/>
          <w:u w:val="single"/>
        </w:rPr>
        <w:t xml:space="preserve">                              </w:t>
      </w:r>
      <w:r>
        <w:rPr>
          <w:rFonts w:cs="Arial"/>
          <w:szCs w:val="21"/>
        </w:rPr>
        <w:t xml:space="preserve">  传    真：</w:t>
      </w:r>
      <w:r>
        <w:rPr>
          <w:rFonts w:cs="Arial"/>
          <w:szCs w:val="21"/>
          <w:u w:val="single"/>
        </w:rPr>
        <w:t xml:space="preserve">                             </w:t>
      </w:r>
    </w:p>
    <w:p>
      <w:pPr>
        <w:widowControl w:val="0"/>
        <w:numPr>
          <w:ilvl w:val="1"/>
          <w:numId w:val="35"/>
        </w:numPr>
        <w:shd w:val="clear" w:color="auto" w:fill="auto"/>
        <w:tabs>
          <w:tab w:val="clear" w:pos="426"/>
        </w:tabs>
        <w:adjustRightInd/>
        <w:snapToGrid/>
        <w:ind w:left="0" w:firstLine="426"/>
        <w:rPr>
          <w:rFonts w:cs="Arial"/>
          <w:szCs w:val="21"/>
          <w:u w:val="single"/>
        </w:rPr>
      </w:pPr>
      <w:r>
        <w:rPr>
          <w:rFonts w:cs="Arial"/>
          <w:szCs w:val="21"/>
        </w:rPr>
        <w:t>注册资金：</w:t>
      </w:r>
      <w:r>
        <w:rPr>
          <w:rFonts w:cs="Arial"/>
          <w:szCs w:val="21"/>
          <w:u w:val="single"/>
        </w:rPr>
        <w:t xml:space="preserve">                              </w:t>
      </w:r>
      <w:r>
        <w:rPr>
          <w:rFonts w:cs="Arial"/>
          <w:szCs w:val="21"/>
        </w:rPr>
        <w:t xml:space="preserve">  经济性质：</w:t>
      </w:r>
      <w:r>
        <w:rPr>
          <w:rFonts w:cs="Arial"/>
          <w:szCs w:val="21"/>
          <w:u w:val="single"/>
        </w:rPr>
        <w:t xml:space="preserve">      </w:t>
      </w:r>
      <w:r>
        <w:rPr>
          <w:rFonts w:hint="eastAsia" w:cs="Arial"/>
          <w:szCs w:val="21"/>
          <w:u w:val="single"/>
        </w:rPr>
        <w:t xml:space="preserve">                   </w:t>
      </w:r>
      <w:r>
        <w:rPr>
          <w:rFonts w:cs="Arial"/>
          <w:szCs w:val="21"/>
          <w:u w:val="single"/>
        </w:rPr>
        <w:t xml:space="preserve">    </w:t>
      </w:r>
    </w:p>
    <w:p>
      <w:pPr>
        <w:widowControl w:val="0"/>
        <w:numPr>
          <w:ilvl w:val="1"/>
          <w:numId w:val="35"/>
        </w:numPr>
        <w:shd w:val="clear" w:color="auto" w:fill="auto"/>
        <w:tabs>
          <w:tab w:val="clear" w:pos="426"/>
        </w:tabs>
        <w:adjustRightInd/>
        <w:snapToGrid/>
        <w:ind w:left="0" w:firstLine="426"/>
        <w:rPr>
          <w:rFonts w:cs="Arial"/>
          <w:szCs w:val="21"/>
        </w:rPr>
      </w:pPr>
      <w:r>
        <w:rPr>
          <w:rFonts w:cs="Arial"/>
          <w:szCs w:val="21"/>
        </w:rPr>
        <w:t>公司开户银行名称及账号：</w:t>
      </w:r>
      <w:r>
        <w:rPr>
          <w:rFonts w:hint="eastAsia" w:cs="Arial"/>
          <w:szCs w:val="21"/>
          <w:u w:val="single"/>
        </w:rPr>
        <w:t xml:space="preserve">                                                         </w:t>
      </w:r>
    </w:p>
    <w:p>
      <w:pPr>
        <w:widowControl w:val="0"/>
        <w:numPr>
          <w:ilvl w:val="1"/>
          <w:numId w:val="35"/>
        </w:numPr>
        <w:shd w:val="clear" w:color="auto" w:fill="auto"/>
        <w:tabs>
          <w:tab w:val="clear" w:pos="426"/>
        </w:tabs>
        <w:adjustRightInd/>
        <w:snapToGrid/>
        <w:ind w:left="0" w:firstLine="426"/>
        <w:rPr>
          <w:rFonts w:cs="Arial"/>
          <w:szCs w:val="21"/>
        </w:rPr>
      </w:pPr>
      <w:r>
        <w:rPr>
          <w:rFonts w:cs="Arial"/>
          <w:szCs w:val="21"/>
        </w:rPr>
        <w:t>营业注册执照号：</w:t>
      </w:r>
      <w:r>
        <w:rPr>
          <w:rFonts w:hint="eastAsia" w:cs="Arial"/>
          <w:szCs w:val="21"/>
          <w:u w:val="single"/>
        </w:rPr>
        <w:t xml:space="preserve">                                                                  </w:t>
      </w:r>
    </w:p>
    <w:p>
      <w:pPr>
        <w:widowControl w:val="0"/>
        <w:numPr>
          <w:ilvl w:val="1"/>
          <w:numId w:val="35"/>
        </w:numPr>
        <w:shd w:val="clear" w:color="auto" w:fill="auto"/>
        <w:tabs>
          <w:tab w:val="clear" w:pos="426"/>
        </w:tabs>
        <w:adjustRightInd/>
        <w:snapToGrid/>
        <w:ind w:left="0" w:firstLine="426"/>
        <w:rPr>
          <w:rFonts w:cs="Arial"/>
          <w:szCs w:val="21"/>
        </w:rPr>
      </w:pPr>
      <w:r>
        <w:rPr>
          <w:rFonts w:cs="Arial"/>
          <w:szCs w:val="21"/>
        </w:rPr>
        <w:t>公司简介</w:t>
      </w:r>
    </w:p>
    <w:p>
      <w:pPr>
        <w:tabs>
          <w:tab w:val="clear" w:pos="426"/>
        </w:tabs>
        <w:ind w:firstLine="426"/>
      </w:pPr>
      <w:r>
        <w:rPr>
          <w:rFonts w:hint="eastAsia"/>
        </w:rPr>
        <w:t>文字描述：</w:t>
      </w:r>
      <w:r>
        <w:rPr>
          <w:rFonts w:hint="eastAsia"/>
          <w:bCs/>
          <w:szCs w:val="21"/>
          <w:lang w:val="en-GB"/>
        </w:rPr>
        <w:t>发展历程、经营规模及服务理念</w:t>
      </w:r>
      <w:r>
        <w:rPr>
          <w:rFonts w:hint="eastAsia"/>
        </w:rPr>
        <w:t>、技术力量、财务状况、</w:t>
      </w:r>
      <w:r>
        <w:t>管理水平</w:t>
      </w:r>
      <w:r>
        <w:rPr>
          <w:rFonts w:hint="eastAsia"/>
        </w:rPr>
        <w:t>等方面进行阐述；</w:t>
      </w:r>
    </w:p>
    <w:p>
      <w:pPr>
        <w:tabs>
          <w:tab w:val="clear" w:pos="426"/>
        </w:tabs>
        <w:ind w:firstLine="426"/>
        <w:rPr>
          <w:rFonts w:cs="Arial"/>
          <w:szCs w:val="21"/>
        </w:rPr>
      </w:pPr>
      <w:r>
        <w:rPr>
          <w:rFonts w:hint="eastAsia"/>
        </w:rPr>
        <w:t>图片描述：</w:t>
      </w:r>
      <w:r>
        <w:rPr>
          <w:rFonts w:hint="eastAsia"/>
          <w:bCs/>
          <w:szCs w:val="21"/>
          <w:lang w:val="en-GB"/>
        </w:rPr>
        <w:t>经营场所、主要或关键产品介绍、生产场所及服务流程等。</w:t>
      </w:r>
    </w:p>
    <w:p>
      <w:pPr>
        <w:widowControl w:val="0"/>
        <w:shd w:val="clear" w:color="auto" w:fill="auto"/>
        <w:tabs>
          <w:tab w:val="clear" w:pos="426"/>
        </w:tabs>
        <w:adjustRightInd/>
        <w:snapToGrid/>
        <w:rPr>
          <w:rFonts w:cs="Arial"/>
          <w:b/>
          <w:szCs w:val="21"/>
        </w:rPr>
      </w:pPr>
      <w:r>
        <w:rPr>
          <w:rFonts w:hint="eastAsia" w:cs="Arial"/>
          <w:b/>
          <w:szCs w:val="21"/>
        </w:rPr>
        <w:t>二、供应商资格证明文件</w:t>
      </w:r>
    </w:p>
    <w:p>
      <w:pPr>
        <w:tabs>
          <w:tab w:val="clear" w:pos="426"/>
        </w:tabs>
        <w:spacing w:before="120" w:beforeLines="50"/>
        <w:ind w:firstLine="424" w:firstLineChars="201"/>
        <w:rPr>
          <w:b/>
          <w:color w:val="FF0000"/>
        </w:rPr>
      </w:pPr>
      <w:r>
        <w:rPr>
          <w:rFonts w:hint="eastAsia"/>
          <w:b/>
          <w:color w:val="FF0000"/>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pPr>
        <w:widowControl w:val="0"/>
        <w:shd w:val="clear" w:color="auto" w:fill="auto"/>
        <w:tabs>
          <w:tab w:val="clear" w:pos="426"/>
        </w:tabs>
        <w:adjustRightInd/>
        <w:snapToGrid/>
        <w:rPr>
          <w:rFonts w:cs="Arial"/>
          <w:b/>
          <w:szCs w:val="21"/>
        </w:rPr>
      </w:pPr>
      <w:r>
        <w:rPr>
          <w:rFonts w:hint="eastAsia" w:cs="Arial"/>
          <w:b/>
          <w:szCs w:val="21"/>
        </w:rPr>
        <w:t>三、</w:t>
      </w:r>
      <w:r>
        <w:rPr>
          <w:rFonts w:cs="Arial"/>
          <w:b/>
          <w:szCs w:val="21"/>
        </w:rPr>
        <w:t>如联合体投标，投标人还必须提供《联合体投标协议》（格式自定）。</w:t>
      </w:r>
    </w:p>
    <w:p>
      <w:pPr>
        <w:tabs>
          <w:tab w:val="clear" w:pos="426"/>
        </w:tabs>
        <w:spacing w:line="500" w:lineRule="exact"/>
        <w:ind w:left="424" w:leftChars="202"/>
        <w:rPr>
          <w:spacing w:val="4"/>
        </w:rPr>
      </w:pPr>
    </w:p>
    <w:p>
      <w:pPr>
        <w:tabs>
          <w:tab w:val="clear" w:pos="426"/>
        </w:tabs>
        <w:spacing w:line="500" w:lineRule="exact"/>
        <w:ind w:left="424" w:leftChars="202"/>
        <w:rPr>
          <w:spacing w:val="4"/>
        </w:rPr>
      </w:pPr>
    </w:p>
    <w:p>
      <w:pPr>
        <w:tabs>
          <w:tab w:val="clear" w:pos="426"/>
        </w:tabs>
        <w:spacing w:line="500" w:lineRule="exact"/>
        <w:ind w:left="424" w:leftChars="202"/>
        <w:rPr>
          <w:spacing w:val="4"/>
        </w:rPr>
      </w:pPr>
    </w:p>
    <w:p>
      <w:pPr>
        <w:tabs>
          <w:tab w:val="clear" w:pos="426"/>
        </w:tabs>
        <w:spacing w:line="500" w:lineRule="exact"/>
        <w:ind w:left="424" w:leftChars="202"/>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pPr>
        <w:tabs>
          <w:tab w:val="clear" w:pos="426"/>
        </w:tabs>
        <w:spacing w:line="520" w:lineRule="exact"/>
        <w:ind w:left="424" w:leftChars="202"/>
        <w:rPr>
          <w:spacing w:val="4"/>
        </w:rPr>
      </w:pPr>
      <w:r>
        <w:rPr>
          <w:rFonts w:hint="eastAsia"/>
        </w:rPr>
        <w:t>法定代表人或投标人授权代表（签名或盖章）：</w:t>
      </w:r>
      <w:r>
        <w:rPr>
          <w:spacing w:val="4"/>
          <w:u w:val="single"/>
        </w:rPr>
        <w:t xml:space="preserve">        </w:t>
      </w:r>
      <w:r>
        <w:rPr>
          <w:rFonts w:hint="eastAsia"/>
          <w:spacing w:val="4"/>
          <w:u w:val="single"/>
        </w:rPr>
        <w:t xml:space="preserve"> </w:t>
      </w:r>
      <w:r>
        <w:rPr>
          <w:spacing w:val="4"/>
          <w:u w:val="single"/>
        </w:rPr>
        <w:t xml:space="preserve"> </w:t>
      </w:r>
      <w:r>
        <w:rPr>
          <w:rFonts w:hint="eastAsia"/>
          <w:spacing w:val="4"/>
          <w:u w:val="single"/>
        </w:rPr>
        <w:t xml:space="preserve"> </w:t>
      </w:r>
      <w:r>
        <w:rPr>
          <w:spacing w:val="4"/>
          <w:u w:val="single"/>
        </w:rPr>
        <w:t xml:space="preserve"> </w:t>
      </w:r>
      <w:r>
        <w:rPr>
          <w:rFonts w:hint="eastAsia"/>
          <w:spacing w:val="4"/>
          <w:u w:val="single"/>
        </w:rPr>
        <w:t xml:space="preserve"> </w:t>
      </w:r>
      <w:r>
        <w:rPr>
          <w:spacing w:val="4"/>
          <w:u w:val="single"/>
        </w:rPr>
        <w:t xml:space="preserve">   </w:t>
      </w:r>
    </w:p>
    <w:p>
      <w:pPr>
        <w:tabs>
          <w:tab w:val="clear" w:pos="426"/>
        </w:tabs>
        <w:spacing w:line="520" w:lineRule="exact"/>
        <w:ind w:left="424" w:leftChars="202"/>
        <w:rPr>
          <w:spacing w:val="4"/>
        </w:rPr>
      </w:pPr>
      <w:r>
        <w:rPr>
          <w:rFonts w:hint="eastAsia"/>
          <w:spacing w:val="4"/>
        </w:rPr>
        <w:t>职务：</w:t>
      </w:r>
      <w:r>
        <w:rPr>
          <w:spacing w:val="4"/>
          <w:u w:val="single"/>
        </w:rPr>
        <w:t xml:space="preserve">    </w:t>
      </w:r>
      <w:r>
        <w:rPr>
          <w:rFonts w:hint="eastAsia"/>
          <w:spacing w:val="4"/>
          <w:u w:val="single"/>
        </w:rPr>
        <w:t xml:space="preserve">                                         </w:t>
      </w:r>
      <w:r>
        <w:rPr>
          <w:spacing w:val="4"/>
          <w:u w:val="single"/>
        </w:rPr>
        <w:t xml:space="preserve">    </w:t>
      </w:r>
    </w:p>
    <w:p>
      <w:pPr>
        <w:tabs>
          <w:tab w:val="clear" w:pos="426"/>
        </w:tabs>
        <w:spacing w:line="520" w:lineRule="exact"/>
        <w:ind w:left="424" w:leftChars="202"/>
        <w:rPr>
          <w:rFonts w:ascii="黑体" w:eastAsia="黑体"/>
          <w:b/>
          <w:bCs/>
          <w:sz w:val="28"/>
        </w:rPr>
      </w:pPr>
      <w:r>
        <w:rPr>
          <w:rFonts w:hint="eastAsia"/>
          <w:spacing w:val="4"/>
        </w:rPr>
        <w:t>日期</w:t>
      </w:r>
      <w:r>
        <w:rPr>
          <w:spacing w:val="4"/>
          <w:u w:val="single"/>
        </w:rPr>
        <w:t xml:space="preserve">     </w:t>
      </w:r>
      <w:r>
        <w:rPr>
          <w:rFonts w:hint="eastAsia"/>
          <w:spacing w:val="4"/>
          <w:u w:val="single"/>
        </w:rPr>
        <w:t xml:space="preserve">                                          </w:t>
      </w:r>
      <w:r>
        <w:rPr>
          <w:spacing w:val="4"/>
          <w:u w:val="single"/>
        </w:rPr>
        <w:t xml:space="preserve">    </w:t>
      </w:r>
    </w:p>
    <w:p>
      <w:pPr>
        <w:tabs>
          <w:tab w:val="clear" w:pos="426"/>
        </w:tabs>
        <w:spacing w:line="520" w:lineRule="exact"/>
        <w:ind w:left="424" w:leftChars="202"/>
        <w:rPr>
          <w:rFonts w:ascii="黑体" w:eastAsia="黑体"/>
          <w:b/>
          <w:bCs/>
          <w:sz w:val="28"/>
        </w:rPr>
      </w:pPr>
    </w:p>
    <w:p>
      <w:pPr>
        <w:tabs>
          <w:tab w:val="clear" w:pos="426"/>
        </w:tabs>
        <w:spacing w:line="520" w:lineRule="exact"/>
        <w:ind w:left="424" w:leftChars="202"/>
        <w:rPr>
          <w:rFonts w:ascii="黑体" w:eastAsia="黑体"/>
          <w:b/>
          <w:bCs/>
          <w:sz w:val="28"/>
        </w:rPr>
      </w:pPr>
    </w:p>
    <w:p>
      <w:pPr>
        <w:numPr>
          <w:ilvl w:val="0"/>
          <w:numId w:val="34"/>
        </w:numPr>
        <w:adjustRightInd/>
        <w:snapToGrid/>
        <w:spacing w:before="280" w:after="290" w:line="377" w:lineRule="auto"/>
        <w:outlineLvl w:val="2"/>
        <w:rPr>
          <w:b/>
          <w:sz w:val="24"/>
        </w:rPr>
      </w:pPr>
      <w:r>
        <w:br w:type="page"/>
      </w:r>
      <w:r>
        <w:rPr>
          <w:rFonts w:hint="eastAsia"/>
          <w:b/>
          <w:sz w:val="24"/>
        </w:rPr>
        <w:t>开标一览表(报价表)</w:t>
      </w:r>
    </w:p>
    <w:p>
      <w:pPr>
        <w:widowControl w:val="0"/>
        <w:shd w:val="clear" w:color="auto" w:fill="auto"/>
        <w:tabs>
          <w:tab w:val="clear" w:pos="426"/>
        </w:tabs>
        <w:adjustRightInd/>
        <w:snapToGrid/>
        <w:spacing w:line="300" w:lineRule="auto"/>
        <w:jc w:val="center"/>
        <w:rPr>
          <w:rFonts w:cs="Times New Roman"/>
          <w:bCs/>
          <w:kern w:val="2"/>
          <w:sz w:val="32"/>
          <w:szCs w:val="32"/>
        </w:rPr>
      </w:pPr>
      <w:bookmarkStart w:id="59" w:name="_Toc480756075"/>
      <w:bookmarkStart w:id="60" w:name="_Toc480789479"/>
      <w:bookmarkStart w:id="61" w:name="_Toc480755929"/>
      <w:bookmarkStart w:id="62" w:name="_Toc480754208"/>
      <w:r>
        <w:rPr>
          <w:rFonts w:hint="eastAsia" w:cs="Times New Roman"/>
          <w:bCs/>
          <w:kern w:val="2"/>
          <w:sz w:val="32"/>
          <w:szCs w:val="32"/>
        </w:rPr>
        <w:t>开标一览表(报价表)</w:t>
      </w:r>
      <w:bookmarkEnd w:id="59"/>
      <w:bookmarkEnd w:id="60"/>
      <w:bookmarkEnd w:id="61"/>
      <w:bookmarkEnd w:id="62"/>
    </w:p>
    <w:p>
      <w:pPr>
        <w:tabs>
          <w:tab w:val="clear" w:pos="426"/>
        </w:tabs>
        <w:jc w:val="left"/>
      </w:pPr>
    </w:p>
    <w:p>
      <w:pPr>
        <w:tabs>
          <w:tab w:val="clear" w:pos="426"/>
        </w:tabs>
        <w:jc w:val="left"/>
        <w:rPr>
          <w:sz w:val="24"/>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tbl>
      <w:tblPr>
        <w:tblStyle w:val="44"/>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757"/>
        <w:gridCol w:w="1177"/>
        <w:gridCol w:w="917"/>
        <w:gridCol w:w="1047"/>
        <w:gridCol w:w="1742"/>
        <w:gridCol w:w="117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834" w:type="dxa"/>
            <w:shd w:val="clear" w:color="auto" w:fill="auto"/>
            <w:vAlign w:val="center"/>
          </w:tcPr>
          <w:p>
            <w:pPr>
              <w:tabs>
                <w:tab w:val="clear" w:pos="426"/>
              </w:tabs>
              <w:spacing w:line="240" w:lineRule="auto"/>
              <w:jc w:val="center"/>
              <w:rPr>
                <w:b/>
                <w:szCs w:val="21"/>
              </w:rPr>
            </w:pPr>
            <w:r>
              <w:rPr>
                <w:rFonts w:hint="eastAsia"/>
                <w:b/>
                <w:szCs w:val="21"/>
              </w:rPr>
              <w:t>序号</w:t>
            </w:r>
          </w:p>
        </w:tc>
        <w:tc>
          <w:tcPr>
            <w:tcW w:w="1757" w:type="dxa"/>
            <w:shd w:val="clear" w:color="auto" w:fill="auto"/>
            <w:vAlign w:val="center"/>
          </w:tcPr>
          <w:p>
            <w:pPr>
              <w:tabs>
                <w:tab w:val="clear" w:pos="426"/>
              </w:tabs>
              <w:spacing w:line="240" w:lineRule="auto"/>
              <w:jc w:val="center"/>
              <w:rPr>
                <w:b/>
                <w:szCs w:val="21"/>
              </w:rPr>
            </w:pPr>
            <w:r>
              <w:rPr>
                <w:rFonts w:hint="eastAsia"/>
                <w:b/>
                <w:szCs w:val="21"/>
              </w:rPr>
              <w:t>项目名称</w:t>
            </w:r>
          </w:p>
        </w:tc>
        <w:tc>
          <w:tcPr>
            <w:tcW w:w="1177" w:type="dxa"/>
            <w:shd w:val="clear" w:color="auto" w:fill="auto"/>
            <w:vAlign w:val="center"/>
          </w:tcPr>
          <w:p>
            <w:pPr>
              <w:tabs>
                <w:tab w:val="clear" w:pos="426"/>
              </w:tabs>
              <w:spacing w:line="240" w:lineRule="auto"/>
              <w:jc w:val="center"/>
              <w:rPr>
                <w:b/>
                <w:szCs w:val="21"/>
              </w:rPr>
            </w:pPr>
            <w:r>
              <w:rPr>
                <w:rFonts w:hint="eastAsia"/>
                <w:b/>
                <w:szCs w:val="21"/>
              </w:rPr>
              <w:t>设备名称</w:t>
            </w:r>
          </w:p>
        </w:tc>
        <w:tc>
          <w:tcPr>
            <w:tcW w:w="917" w:type="dxa"/>
            <w:shd w:val="clear" w:color="auto" w:fill="auto"/>
            <w:vAlign w:val="center"/>
          </w:tcPr>
          <w:p>
            <w:pPr>
              <w:tabs>
                <w:tab w:val="clear" w:pos="426"/>
              </w:tabs>
              <w:spacing w:line="240" w:lineRule="auto"/>
              <w:jc w:val="center"/>
              <w:rPr>
                <w:b/>
                <w:szCs w:val="21"/>
              </w:rPr>
            </w:pPr>
            <w:r>
              <w:rPr>
                <w:rFonts w:hint="eastAsia"/>
                <w:b/>
                <w:szCs w:val="21"/>
              </w:rPr>
              <w:t>型号</w:t>
            </w:r>
          </w:p>
        </w:tc>
        <w:tc>
          <w:tcPr>
            <w:tcW w:w="1047" w:type="dxa"/>
            <w:shd w:val="clear" w:color="auto" w:fill="auto"/>
            <w:vAlign w:val="center"/>
          </w:tcPr>
          <w:p>
            <w:pPr>
              <w:tabs>
                <w:tab w:val="clear" w:pos="426"/>
              </w:tabs>
              <w:spacing w:line="240" w:lineRule="auto"/>
              <w:jc w:val="center"/>
              <w:rPr>
                <w:b/>
                <w:szCs w:val="21"/>
              </w:rPr>
            </w:pPr>
            <w:r>
              <w:rPr>
                <w:rFonts w:hint="eastAsia"/>
                <w:b/>
                <w:szCs w:val="21"/>
              </w:rPr>
              <w:t>数量</w:t>
            </w:r>
          </w:p>
        </w:tc>
        <w:tc>
          <w:tcPr>
            <w:tcW w:w="1742" w:type="dxa"/>
            <w:shd w:val="clear" w:color="auto" w:fill="auto"/>
            <w:vAlign w:val="center"/>
          </w:tcPr>
          <w:p>
            <w:pPr>
              <w:tabs>
                <w:tab w:val="clear" w:pos="426"/>
              </w:tabs>
              <w:spacing w:line="240" w:lineRule="auto"/>
              <w:jc w:val="center"/>
              <w:rPr>
                <w:b/>
                <w:szCs w:val="21"/>
              </w:rPr>
            </w:pPr>
            <w:r>
              <w:rPr>
                <w:rFonts w:hint="eastAsia"/>
                <w:b/>
                <w:szCs w:val="21"/>
              </w:rPr>
              <w:t>投标总价</w:t>
            </w:r>
          </w:p>
        </w:tc>
        <w:tc>
          <w:tcPr>
            <w:tcW w:w="1179" w:type="dxa"/>
            <w:shd w:val="clear" w:color="auto" w:fill="auto"/>
            <w:vAlign w:val="center"/>
          </w:tcPr>
          <w:p>
            <w:pPr>
              <w:tabs>
                <w:tab w:val="clear" w:pos="426"/>
              </w:tabs>
              <w:spacing w:line="240" w:lineRule="auto"/>
              <w:jc w:val="center"/>
              <w:rPr>
                <w:b/>
                <w:szCs w:val="21"/>
              </w:rPr>
            </w:pPr>
            <w:r>
              <w:rPr>
                <w:rFonts w:hint="eastAsia"/>
                <w:b/>
                <w:szCs w:val="21"/>
              </w:rPr>
              <w:t>交货期</w:t>
            </w:r>
          </w:p>
        </w:tc>
        <w:tc>
          <w:tcPr>
            <w:tcW w:w="917" w:type="dxa"/>
            <w:shd w:val="clear" w:color="auto" w:fill="auto"/>
            <w:vAlign w:val="center"/>
          </w:tcPr>
          <w:p>
            <w:pPr>
              <w:tabs>
                <w:tab w:val="clear" w:pos="426"/>
              </w:tabs>
              <w:spacing w:line="240" w:lineRule="auto"/>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834" w:type="dxa"/>
            <w:shd w:val="clear" w:color="auto" w:fill="auto"/>
            <w:vAlign w:val="center"/>
          </w:tcPr>
          <w:p>
            <w:pPr>
              <w:tabs>
                <w:tab w:val="clear" w:pos="426"/>
              </w:tabs>
              <w:jc w:val="center"/>
              <w:rPr>
                <w:bCs/>
                <w:szCs w:val="21"/>
              </w:rPr>
            </w:pPr>
          </w:p>
        </w:tc>
        <w:tc>
          <w:tcPr>
            <w:tcW w:w="1757" w:type="dxa"/>
            <w:shd w:val="clear" w:color="auto" w:fill="auto"/>
            <w:vAlign w:val="center"/>
          </w:tcPr>
          <w:p>
            <w:pPr>
              <w:tabs>
                <w:tab w:val="clear" w:pos="426"/>
              </w:tabs>
              <w:jc w:val="center"/>
              <w:rPr>
                <w:szCs w:val="21"/>
              </w:rPr>
            </w:pPr>
          </w:p>
        </w:tc>
        <w:tc>
          <w:tcPr>
            <w:tcW w:w="1177" w:type="dxa"/>
            <w:shd w:val="clear" w:color="auto" w:fill="auto"/>
            <w:vAlign w:val="center"/>
          </w:tcPr>
          <w:p>
            <w:pPr>
              <w:tabs>
                <w:tab w:val="clear" w:pos="426"/>
              </w:tabs>
              <w:jc w:val="center"/>
              <w:rPr>
                <w:bCs/>
                <w:szCs w:val="21"/>
                <w:u w:val="single"/>
              </w:rPr>
            </w:pPr>
          </w:p>
        </w:tc>
        <w:tc>
          <w:tcPr>
            <w:tcW w:w="917" w:type="dxa"/>
            <w:shd w:val="clear" w:color="auto" w:fill="auto"/>
            <w:vAlign w:val="center"/>
          </w:tcPr>
          <w:p>
            <w:pPr>
              <w:tabs>
                <w:tab w:val="clear" w:pos="426"/>
              </w:tabs>
              <w:jc w:val="center"/>
              <w:rPr>
                <w:b/>
                <w:szCs w:val="21"/>
              </w:rPr>
            </w:pPr>
          </w:p>
        </w:tc>
        <w:tc>
          <w:tcPr>
            <w:tcW w:w="1047" w:type="dxa"/>
            <w:shd w:val="clear" w:color="auto" w:fill="auto"/>
            <w:vAlign w:val="center"/>
          </w:tcPr>
          <w:p>
            <w:pPr>
              <w:tabs>
                <w:tab w:val="clear" w:pos="426"/>
              </w:tabs>
              <w:jc w:val="center"/>
              <w:rPr>
                <w:b/>
                <w:szCs w:val="21"/>
              </w:rPr>
            </w:pPr>
          </w:p>
        </w:tc>
        <w:tc>
          <w:tcPr>
            <w:tcW w:w="1742" w:type="dxa"/>
            <w:shd w:val="clear" w:color="auto" w:fill="auto"/>
            <w:vAlign w:val="center"/>
          </w:tcPr>
          <w:p>
            <w:pPr>
              <w:tabs>
                <w:tab w:val="clear" w:pos="426"/>
              </w:tabs>
              <w:jc w:val="center"/>
              <w:rPr>
                <w:b/>
                <w:szCs w:val="21"/>
              </w:rPr>
            </w:pPr>
          </w:p>
        </w:tc>
        <w:tc>
          <w:tcPr>
            <w:tcW w:w="1179" w:type="dxa"/>
            <w:shd w:val="clear" w:color="auto" w:fill="auto"/>
            <w:vAlign w:val="center"/>
          </w:tcPr>
          <w:p>
            <w:pPr>
              <w:tabs>
                <w:tab w:val="clear" w:pos="426"/>
              </w:tabs>
              <w:jc w:val="center"/>
              <w:rPr>
                <w:b/>
                <w:szCs w:val="21"/>
              </w:rPr>
            </w:pPr>
          </w:p>
        </w:tc>
        <w:tc>
          <w:tcPr>
            <w:tcW w:w="917" w:type="dxa"/>
            <w:shd w:val="clear" w:color="auto" w:fill="auto"/>
            <w:vAlign w:val="center"/>
          </w:tcPr>
          <w:p>
            <w:pPr>
              <w:tabs>
                <w:tab w:val="clear" w:pos="426"/>
              </w:tabs>
              <w:jc w:val="center"/>
              <w:rPr>
                <w:b/>
                <w:szCs w:val="21"/>
              </w:rPr>
            </w:pPr>
          </w:p>
        </w:tc>
      </w:tr>
    </w:tbl>
    <w:p>
      <w:pPr>
        <w:tabs>
          <w:tab w:val="clear" w:pos="426"/>
        </w:tabs>
        <w:spacing w:line="500" w:lineRule="exact"/>
        <w:rPr>
          <w:spacing w:val="4"/>
        </w:rPr>
      </w:pPr>
    </w:p>
    <w:p>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pPr>
        <w:tabs>
          <w:tab w:val="clear" w:pos="426"/>
        </w:tabs>
        <w:spacing w:line="520" w:lineRule="exact"/>
      </w:pPr>
    </w:p>
    <w:p>
      <w:pPr>
        <w:tabs>
          <w:tab w:val="clear" w:pos="426"/>
        </w:tabs>
        <w:spacing w:line="520" w:lineRule="exact"/>
        <w:rPr>
          <w:spacing w:val="4"/>
        </w:rPr>
      </w:pPr>
      <w:r>
        <w:rPr>
          <w:rFonts w:hint="eastAsia"/>
        </w:rPr>
        <w:t>法定代表人或投标人授权代表（签名或盖章）：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pPr>
        <w:tabs>
          <w:tab w:val="clear" w:pos="426"/>
        </w:tabs>
        <w:spacing w:line="400" w:lineRule="exact"/>
        <w:rPr>
          <w:b/>
          <w:bCs/>
          <w:szCs w:val="21"/>
        </w:rPr>
      </w:pPr>
      <w:r>
        <w:rPr>
          <w:rFonts w:hint="eastAsia"/>
          <w:b/>
          <w:bCs/>
          <w:szCs w:val="21"/>
        </w:rPr>
        <w:t>备注：</w:t>
      </w:r>
    </w:p>
    <w:p>
      <w:pPr>
        <w:widowControl w:val="0"/>
        <w:numPr>
          <w:ilvl w:val="1"/>
          <w:numId w:val="36"/>
        </w:numPr>
        <w:shd w:val="clear" w:color="auto" w:fill="auto"/>
        <w:tabs>
          <w:tab w:val="clear" w:pos="426"/>
        </w:tabs>
        <w:adjustRightInd/>
        <w:ind w:left="0" w:firstLine="424" w:firstLineChars="201"/>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pPr>
        <w:widowControl w:val="0"/>
        <w:numPr>
          <w:ilvl w:val="1"/>
          <w:numId w:val="36"/>
        </w:numPr>
        <w:shd w:val="clear" w:color="auto" w:fill="auto"/>
        <w:tabs>
          <w:tab w:val="clear" w:pos="426"/>
        </w:tabs>
        <w:adjustRightInd/>
        <w:ind w:left="0" w:firstLine="424" w:firstLineChars="201"/>
        <w:rPr>
          <w:b/>
          <w:bCs/>
          <w:szCs w:val="21"/>
        </w:rPr>
      </w:pPr>
      <w:r>
        <w:rPr>
          <w:rFonts w:hint="eastAsia"/>
          <w:b/>
        </w:rPr>
        <w:t>此表内投标报价为最终价，开标信封及投标文件内不得含有任何对本报价进行修改的其他说明或资料，否则为无效投标</w:t>
      </w:r>
      <w:r>
        <w:rPr>
          <w:rFonts w:hint="eastAsia"/>
          <w:b/>
          <w:bCs/>
          <w:szCs w:val="21"/>
        </w:rPr>
        <w:t>。</w:t>
      </w:r>
    </w:p>
    <w:p>
      <w:pPr>
        <w:widowControl w:val="0"/>
        <w:shd w:val="clear" w:color="auto" w:fill="auto"/>
        <w:tabs>
          <w:tab w:val="clear" w:pos="426"/>
        </w:tabs>
        <w:adjustRightInd/>
        <w:rPr>
          <w:b/>
          <w:bCs/>
          <w:szCs w:val="21"/>
        </w:rPr>
      </w:pPr>
    </w:p>
    <w:p>
      <w:pPr>
        <w:widowControl w:val="0"/>
        <w:shd w:val="clear" w:color="auto" w:fill="auto"/>
        <w:tabs>
          <w:tab w:val="clear" w:pos="426"/>
        </w:tabs>
        <w:adjustRightInd/>
        <w:rPr>
          <w:b/>
          <w:bCs/>
          <w:szCs w:val="21"/>
        </w:rPr>
      </w:pPr>
    </w:p>
    <w:p>
      <w:pPr>
        <w:widowControl w:val="0"/>
        <w:shd w:val="clear" w:color="auto" w:fill="auto"/>
        <w:tabs>
          <w:tab w:val="clear" w:pos="426"/>
        </w:tabs>
        <w:adjustRightInd/>
        <w:rPr>
          <w:b/>
          <w:bCs/>
          <w:szCs w:val="21"/>
        </w:rPr>
      </w:pPr>
    </w:p>
    <w:p>
      <w:pPr>
        <w:widowControl w:val="0"/>
        <w:shd w:val="clear" w:color="auto" w:fill="auto"/>
        <w:tabs>
          <w:tab w:val="clear" w:pos="426"/>
        </w:tabs>
        <w:adjustRightInd/>
        <w:rPr>
          <w:b/>
          <w:bCs/>
          <w:szCs w:val="21"/>
        </w:rPr>
      </w:pPr>
    </w:p>
    <w:p>
      <w:pPr>
        <w:numPr>
          <w:ilvl w:val="0"/>
          <w:numId w:val="34"/>
        </w:numPr>
        <w:adjustRightInd/>
        <w:snapToGrid/>
        <w:spacing w:before="280" w:after="290" w:line="377" w:lineRule="auto"/>
        <w:outlineLvl w:val="2"/>
        <w:rPr>
          <w:b/>
          <w:sz w:val="24"/>
        </w:rPr>
      </w:pPr>
      <w:r>
        <w:rPr>
          <w:b/>
        </w:rPr>
        <w:br w:type="page"/>
      </w:r>
      <w:r>
        <w:rPr>
          <w:rFonts w:hint="eastAsia"/>
          <w:b/>
          <w:sz w:val="24"/>
        </w:rPr>
        <w:t>货物清单</w:t>
      </w:r>
    </w:p>
    <w:p>
      <w:pPr>
        <w:widowControl w:val="0"/>
        <w:shd w:val="clear" w:color="auto" w:fill="auto"/>
        <w:tabs>
          <w:tab w:val="clear" w:pos="426"/>
        </w:tabs>
        <w:adjustRightInd/>
        <w:snapToGrid/>
        <w:spacing w:line="300" w:lineRule="auto"/>
        <w:jc w:val="center"/>
        <w:rPr>
          <w:rFonts w:cs="Times New Roman"/>
          <w:bCs/>
          <w:kern w:val="2"/>
          <w:sz w:val="32"/>
          <w:szCs w:val="32"/>
        </w:rPr>
      </w:pPr>
      <w:bookmarkStart w:id="63" w:name="_Toc480756079"/>
      <w:bookmarkStart w:id="64" w:name="_Toc480754212"/>
      <w:bookmarkStart w:id="65" w:name="_Toc480789483"/>
      <w:bookmarkStart w:id="66" w:name="_Toc480755933"/>
      <w:r>
        <w:rPr>
          <w:rFonts w:hint="eastAsia" w:cs="Times New Roman"/>
          <w:bCs/>
          <w:kern w:val="2"/>
          <w:sz w:val="32"/>
          <w:szCs w:val="32"/>
        </w:rPr>
        <w:t>货物清单一览表</w:t>
      </w:r>
      <w:bookmarkEnd w:id="63"/>
      <w:bookmarkEnd w:id="64"/>
      <w:bookmarkEnd w:id="65"/>
      <w:bookmarkEnd w:id="66"/>
    </w:p>
    <w:p>
      <w:pPr>
        <w:tabs>
          <w:tab w:val="clear" w:pos="426"/>
        </w:tabs>
        <w:rPr>
          <w:rFonts w:cs="Arial"/>
          <w:bCs/>
          <w:szCs w:val="21"/>
        </w:rPr>
      </w:pPr>
    </w:p>
    <w:p>
      <w:pPr>
        <w:tabs>
          <w:tab w:val="clear" w:pos="426"/>
        </w:tabs>
        <w:rPr>
          <w:rFonts w:cs="Arial"/>
          <w:bCs/>
          <w:szCs w:val="21"/>
        </w:rPr>
      </w:pPr>
      <w:r>
        <w:rPr>
          <w:rFonts w:hint="eastAsia" w:cs="Arial"/>
          <w:bCs/>
          <w:szCs w:val="21"/>
        </w:rPr>
        <w:t>项目名称：</w:t>
      </w:r>
      <w:r>
        <w:rPr>
          <w:rFonts w:hint="eastAsia" w:cs="Arial"/>
          <w:bCs/>
          <w:szCs w:val="21"/>
          <w:u w:val="single"/>
        </w:rPr>
        <w:t xml:space="preserve">                                 </w:t>
      </w:r>
      <w:r>
        <w:rPr>
          <w:rFonts w:hint="eastAsia" w:cs="Arial"/>
          <w:bCs/>
          <w:szCs w:val="21"/>
        </w:rPr>
        <w:t>项目编号：</w:t>
      </w:r>
      <w:r>
        <w:rPr>
          <w:rFonts w:hint="eastAsia" w:cs="Arial"/>
          <w:bCs/>
          <w:szCs w:val="21"/>
          <w:u w:val="single"/>
        </w:rPr>
        <w:t xml:space="preserve">              </w:t>
      </w:r>
      <w:r>
        <w:rPr>
          <w:rFonts w:hint="eastAsia" w:cs="Arial"/>
          <w:bCs/>
          <w:szCs w:val="21"/>
        </w:rPr>
        <w:t>包号：</w:t>
      </w:r>
      <w:r>
        <w:rPr>
          <w:rFonts w:hint="eastAsia" w:cs="Arial"/>
          <w:bCs/>
          <w:szCs w:val="21"/>
          <w:u w:val="single"/>
        </w:rPr>
        <w:t xml:space="preserve">             </w:t>
      </w:r>
      <w:r>
        <w:rPr>
          <w:rFonts w:hint="eastAsia" w:cs="Arial"/>
          <w:bCs/>
          <w:szCs w:val="21"/>
        </w:rPr>
        <w:t xml:space="preserve"> </w:t>
      </w:r>
    </w:p>
    <w:tbl>
      <w:tblPr>
        <w:tblStyle w:val="44"/>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993"/>
        <w:gridCol w:w="1647"/>
        <w:gridCol w:w="824"/>
        <w:gridCol w:w="824"/>
        <w:gridCol w:w="824"/>
        <w:gridCol w:w="825"/>
        <w:gridCol w:w="984"/>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Cs w:val="21"/>
              </w:rPr>
            </w:pPr>
            <w:r>
              <w:rPr>
                <w:rFonts w:hint="eastAsia"/>
                <w:szCs w:val="21"/>
              </w:rPr>
              <w:t>序号</w:t>
            </w:r>
          </w:p>
        </w:tc>
        <w:tc>
          <w:tcPr>
            <w:tcW w:w="1993" w:type="dxa"/>
            <w:vAlign w:val="center"/>
          </w:tcPr>
          <w:p>
            <w:pPr>
              <w:spacing w:line="240" w:lineRule="auto"/>
              <w:jc w:val="center"/>
              <w:rPr>
                <w:szCs w:val="21"/>
              </w:rPr>
            </w:pPr>
            <w:r>
              <w:rPr>
                <w:rFonts w:hint="eastAsia"/>
                <w:szCs w:val="21"/>
              </w:rPr>
              <w:t>货物名称</w:t>
            </w:r>
          </w:p>
        </w:tc>
        <w:tc>
          <w:tcPr>
            <w:tcW w:w="1647" w:type="dxa"/>
            <w:vAlign w:val="center"/>
          </w:tcPr>
          <w:p>
            <w:pPr>
              <w:spacing w:line="240" w:lineRule="auto"/>
              <w:jc w:val="center"/>
              <w:rPr>
                <w:szCs w:val="21"/>
              </w:rPr>
            </w:pPr>
            <w:r>
              <w:rPr>
                <w:rFonts w:hint="eastAsia"/>
                <w:szCs w:val="21"/>
              </w:rPr>
              <w:t>规格及型号</w:t>
            </w:r>
          </w:p>
        </w:tc>
        <w:tc>
          <w:tcPr>
            <w:tcW w:w="824" w:type="dxa"/>
            <w:vAlign w:val="center"/>
          </w:tcPr>
          <w:p>
            <w:pPr>
              <w:spacing w:line="240" w:lineRule="auto"/>
              <w:jc w:val="center"/>
              <w:rPr>
                <w:b/>
                <w:szCs w:val="21"/>
              </w:rPr>
            </w:pPr>
            <w:r>
              <w:rPr>
                <w:rFonts w:hint="eastAsia"/>
                <w:b/>
                <w:szCs w:val="21"/>
              </w:rPr>
              <w:t>产地</w:t>
            </w:r>
          </w:p>
        </w:tc>
        <w:tc>
          <w:tcPr>
            <w:tcW w:w="824" w:type="dxa"/>
            <w:vAlign w:val="center"/>
          </w:tcPr>
          <w:p>
            <w:pPr>
              <w:spacing w:line="240" w:lineRule="auto"/>
              <w:jc w:val="center"/>
              <w:rPr>
                <w:szCs w:val="21"/>
              </w:rPr>
            </w:pPr>
            <w:r>
              <w:rPr>
                <w:rFonts w:hint="eastAsia"/>
                <w:szCs w:val="21"/>
              </w:rPr>
              <w:t>品牌</w:t>
            </w:r>
          </w:p>
        </w:tc>
        <w:tc>
          <w:tcPr>
            <w:tcW w:w="824" w:type="dxa"/>
            <w:vAlign w:val="center"/>
          </w:tcPr>
          <w:p>
            <w:pPr>
              <w:spacing w:line="240" w:lineRule="auto"/>
              <w:jc w:val="center"/>
              <w:rPr>
                <w:szCs w:val="21"/>
              </w:rPr>
            </w:pPr>
            <w:r>
              <w:rPr>
                <w:rFonts w:hint="eastAsia"/>
                <w:szCs w:val="21"/>
              </w:rPr>
              <w:t>数量</w:t>
            </w:r>
          </w:p>
        </w:tc>
        <w:tc>
          <w:tcPr>
            <w:tcW w:w="825" w:type="dxa"/>
            <w:vAlign w:val="center"/>
          </w:tcPr>
          <w:p>
            <w:pPr>
              <w:spacing w:line="240" w:lineRule="auto"/>
              <w:jc w:val="center"/>
              <w:rPr>
                <w:szCs w:val="21"/>
              </w:rPr>
            </w:pPr>
            <w:r>
              <w:rPr>
                <w:rFonts w:hint="eastAsia"/>
                <w:szCs w:val="21"/>
              </w:rPr>
              <w:t>单位</w:t>
            </w:r>
          </w:p>
        </w:tc>
        <w:tc>
          <w:tcPr>
            <w:tcW w:w="984" w:type="dxa"/>
            <w:vAlign w:val="center"/>
          </w:tcPr>
          <w:p>
            <w:pPr>
              <w:tabs>
                <w:tab w:val="clear" w:pos="426"/>
              </w:tabs>
              <w:spacing w:line="240" w:lineRule="auto"/>
              <w:jc w:val="center"/>
              <w:rPr>
                <w:rFonts w:cs="Arial"/>
                <w:bCs/>
                <w:szCs w:val="21"/>
              </w:rPr>
            </w:pPr>
            <w:r>
              <w:rPr>
                <w:rFonts w:hint="eastAsia" w:cs="Arial"/>
                <w:bCs/>
                <w:szCs w:val="21"/>
              </w:rPr>
              <w:t>交货期</w:t>
            </w:r>
          </w:p>
        </w:tc>
        <w:tc>
          <w:tcPr>
            <w:tcW w:w="953" w:type="dxa"/>
            <w:vAlign w:val="center"/>
          </w:tcPr>
          <w:p>
            <w:pPr>
              <w:tabs>
                <w:tab w:val="clear" w:pos="426"/>
              </w:tabs>
              <w:spacing w:line="240" w:lineRule="auto"/>
              <w:jc w:val="center"/>
              <w:rPr>
                <w:rFonts w:cs="Arial"/>
                <w:bCs/>
                <w:szCs w:val="21"/>
              </w:rPr>
            </w:pPr>
            <w:r>
              <w:rPr>
                <w:rFonts w:hint="eastAsia" w:cs="Arial"/>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rPr>
            </w:pPr>
            <w:r>
              <w:rPr>
                <w:rFonts w:hint="eastAsia"/>
                <w:sz w:val="24"/>
              </w:rPr>
              <w:t>1</w:t>
            </w:r>
          </w:p>
        </w:tc>
        <w:tc>
          <w:tcPr>
            <w:tcW w:w="1993" w:type="dxa"/>
            <w:vAlign w:val="center"/>
          </w:tcPr>
          <w:p>
            <w:pPr>
              <w:spacing w:line="240" w:lineRule="auto"/>
              <w:jc w:val="center"/>
              <w:rPr>
                <w:sz w:val="24"/>
              </w:rPr>
            </w:pPr>
          </w:p>
        </w:tc>
        <w:tc>
          <w:tcPr>
            <w:tcW w:w="1647"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5" w:type="dxa"/>
            <w:vAlign w:val="center"/>
          </w:tcPr>
          <w:p>
            <w:pPr>
              <w:spacing w:line="240" w:lineRule="auto"/>
              <w:jc w:val="center"/>
              <w:rPr>
                <w:sz w:val="24"/>
              </w:rPr>
            </w:pPr>
          </w:p>
        </w:tc>
        <w:tc>
          <w:tcPr>
            <w:tcW w:w="984" w:type="dxa"/>
            <w:vAlign w:val="center"/>
          </w:tcPr>
          <w:p>
            <w:pPr>
              <w:spacing w:line="240" w:lineRule="auto"/>
              <w:jc w:val="center"/>
              <w:rPr>
                <w:sz w:val="24"/>
              </w:rPr>
            </w:pPr>
          </w:p>
        </w:tc>
        <w:tc>
          <w:tcPr>
            <w:tcW w:w="953"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rPr>
            </w:pPr>
            <w:r>
              <w:rPr>
                <w:rFonts w:hint="eastAsia"/>
                <w:sz w:val="24"/>
              </w:rPr>
              <w:t>2</w:t>
            </w:r>
          </w:p>
        </w:tc>
        <w:tc>
          <w:tcPr>
            <w:tcW w:w="1993" w:type="dxa"/>
            <w:vAlign w:val="center"/>
          </w:tcPr>
          <w:p>
            <w:pPr>
              <w:spacing w:line="240" w:lineRule="auto"/>
              <w:jc w:val="center"/>
              <w:rPr>
                <w:sz w:val="24"/>
              </w:rPr>
            </w:pPr>
          </w:p>
        </w:tc>
        <w:tc>
          <w:tcPr>
            <w:tcW w:w="1647"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5" w:type="dxa"/>
            <w:vAlign w:val="center"/>
          </w:tcPr>
          <w:p>
            <w:pPr>
              <w:spacing w:line="240" w:lineRule="auto"/>
              <w:jc w:val="center"/>
              <w:rPr>
                <w:sz w:val="24"/>
              </w:rPr>
            </w:pPr>
          </w:p>
        </w:tc>
        <w:tc>
          <w:tcPr>
            <w:tcW w:w="984" w:type="dxa"/>
            <w:vAlign w:val="center"/>
          </w:tcPr>
          <w:p>
            <w:pPr>
              <w:spacing w:line="240" w:lineRule="auto"/>
              <w:jc w:val="center"/>
              <w:rPr>
                <w:sz w:val="24"/>
              </w:rPr>
            </w:pPr>
          </w:p>
        </w:tc>
        <w:tc>
          <w:tcPr>
            <w:tcW w:w="953"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rPr>
            </w:pPr>
            <w:r>
              <w:rPr>
                <w:rFonts w:hint="eastAsia"/>
                <w:sz w:val="24"/>
              </w:rPr>
              <w:t>3</w:t>
            </w:r>
          </w:p>
        </w:tc>
        <w:tc>
          <w:tcPr>
            <w:tcW w:w="1993" w:type="dxa"/>
            <w:vAlign w:val="center"/>
          </w:tcPr>
          <w:p>
            <w:pPr>
              <w:spacing w:line="240" w:lineRule="auto"/>
              <w:jc w:val="center"/>
              <w:rPr>
                <w:sz w:val="24"/>
              </w:rPr>
            </w:pPr>
          </w:p>
        </w:tc>
        <w:tc>
          <w:tcPr>
            <w:tcW w:w="1647"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5" w:type="dxa"/>
            <w:vAlign w:val="center"/>
          </w:tcPr>
          <w:p>
            <w:pPr>
              <w:spacing w:line="240" w:lineRule="auto"/>
              <w:jc w:val="center"/>
              <w:rPr>
                <w:sz w:val="24"/>
              </w:rPr>
            </w:pPr>
          </w:p>
        </w:tc>
        <w:tc>
          <w:tcPr>
            <w:tcW w:w="984" w:type="dxa"/>
            <w:vAlign w:val="center"/>
          </w:tcPr>
          <w:p>
            <w:pPr>
              <w:spacing w:line="240" w:lineRule="auto"/>
              <w:jc w:val="center"/>
              <w:rPr>
                <w:sz w:val="24"/>
              </w:rPr>
            </w:pPr>
          </w:p>
        </w:tc>
        <w:tc>
          <w:tcPr>
            <w:tcW w:w="953"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rPr>
            </w:pPr>
            <w:r>
              <w:rPr>
                <w:rFonts w:hint="eastAsia"/>
                <w:sz w:val="24"/>
              </w:rPr>
              <w:t>……</w:t>
            </w:r>
          </w:p>
        </w:tc>
        <w:tc>
          <w:tcPr>
            <w:tcW w:w="1993" w:type="dxa"/>
            <w:vAlign w:val="center"/>
          </w:tcPr>
          <w:p>
            <w:pPr>
              <w:spacing w:line="240" w:lineRule="auto"/>
              <w:jc w:val="center"/>
              <w:rPr>
                <w:sz w:val="24"/>
              </w:rPr>
            </w:pPr>
          </w:p>
        </w:tc>
        <w:tc>
          <w:tcPr>
            <w:tcW w:w="1647"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5" w:type="dxa"/>
            <w:vAlign w:val="center"/>
          </w:tcPr>
          <w:p>
            <w:pPr>
              <w:spacing w:line="240" w:lineRule="auto"/>
              <w:jc w:val="center"/>
              <w:rPr>
                <w:sz w:val="24"/>
              </w:rPr>
            </w:pPr>
          </w:p>
        </w:tc>
        <w:tc>
          <w:tcPr>
            <w:tcW w:w="984" w:type="dxa"/>
            <w:vAlign w:val="center"/>
          </w:tcPr>
          <w:p>
            <w:pPr>
              <w:spacing w:line="240" w:lineRule="auto"/>
              <w:jc w:val="center"/>
              <w:rPr>
                <w:sz w:val="24"/>
              </w:rPr>
            </w:pPr>
          </w:p>
        </w:tc>
        <w:tc>
          <w:tcPr>
            <w:tcW w:w="953"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rPr>
            </w:pPr>
            <w:r>
              <w:rPr>
                <w:rFonts w:hint="eastAsia"/>
                <w:sz w:val="24"/>
              </w:rPr>
              <w:t>……</w:t>
            </w:r>
          </w:p>
        </w:tc>
        <w:tc>
          <w:tcPr>
            <w:tcW w:w="1993" w:type="dxa"/>
            <w:vAlign w:val="center"/>
          </w:tcPr>
          <w:p>
            <w:pPr>
              <w:spacing w:line="240" w:lineRule="auto"/>
              <w:jc w:val="center"/>
              <w:rPr>
                <w:sz w:val="24"/>
              </w:rPr>
            </w:pPr>
          </w:p>
        </w:tc>
        <w:tc>
          <w:tcPr>
            <w:tcW w:w="1647"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5" w:type="dxa"/>
            <w:vAlign w:val="center"/>
          </w:tcPr>
          <w:p>
            <w:pPr>
              <w:spacing w:line="240" w:lineRule="auto"/>
              <w:jc w:val="center"/>
              <w:rPr>
                <w:sz w:val="24"/>
              </w:rPr>
            </w:pPr>
          </w:p>
        </w:tc>
        <w:tc>
          <w:tcPr>
            <w:tcW w:w="984" w:type="dxa"/>
            <w:vAlign w:val="center"/>
          </w:tcPr>
          <w:p>
            <w:pPr>
              <w:spacing w:line="240" w:lineRule="auto"/>
              <w:jc w:val="center"/>
              <w:rPr>
                <w:sz w:val="24"/>
              </w:rPr>
            </w:pPr>
          </w:p>
        </w:tc>
        <w:tc>
          <w:tcPr>
            <w:tcW w:w="953"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6" w:type="dxa"/>
            <w:vAlign w:val="center"/>
          </w:tcPr>
          <w:p>
            <w:pPr>
              <w:spacing w:line="240" w:lineRule="auto"/>
              <w:jc w:val="center"/>
              <w:rPr>
                <w:sz w:val="24"/>
              </w:rPr>
            </w:pPr>
          </w:p>
        </w:tc>
        <w:tc>
          <w:tcPr>
            <w:tcW w:w="1993" w:type="dxa"/>
            <w:vAlign w:val="center"/>
          </w:tcPr>
          <w:p>
            <w:pPr>
              <w:spacing w:line="240" w:lineRule="auto"/>
              <w:jc w:val="center"/>
              <w:rPr>
                <w:sz w:val="24"/>
              </w:rPr>
            </w:pPr>
          </w:p>
        </w:tc>
        <w:tc>
          <w:tcPr>
            <w:tcW w:w="1647"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4" w:type="dxa"/>
            <w:vAlign w:val="center"/>
          </w:tcPr>
          <w:p>
            <w:pPr>
              <w:spacing w:line="240" w:lineRule="auto"/>
              <w:jc w:val="center"/>
              <w:rPr>
                <w:sz w:val="24"/>
              </w:rPr>
            </w:pPr>
          </w:p>
        </w:tc>
        <w:tc>
          <w:tcPr>
            <w:tcW w:w="825" w:type="dxa"/>
            <w:vAlign w:val="center"/>
          </w:tcPr>
          <w:p>
            <w:pPr>
              <w:spacing w:line="240" w:lineRule="auto"/>
              <w:jc w:val="center"/>
              <w:rPr>
                <w:sz w:val="24"/>
              </w:rPr>
            </w:pPr>
          </w:p>
        </w:tc>
        <w:tc>
          <w:tcPr>
            <w:tcW w:w="984" w:type="dxa"/>
            <w:vAlign w:val="center"/>
          </w:tcPr>
          <w:p>
            <w:pPr>
              <w:spacing w:line="240" w:lineRule="auto"/>
              <w:jc w:val="center"/>
              <w:rPr>
                <w:sz w:val="24"/>
              </w:rPr>
            </w:pPr>
          </w:p>
        </w:tc>
        <w:tc>
          <w:tcPr>
            <w:tcW w:w="953" w:type="dxa"/>
            <w:vAlign w:val="center"/>
          </w:tcPr>
          <w:p>
            <w:pPr>
              <w:spacing w:line="240" w:lineRule="auto"/>
              <w:jc w:val="center"/>
              <w:rPr>
                <w:sz w:val="24"/>
              </w:rPr>
            </w:pPr>
          </w:p>
        </w:tc>
      </w:tr>
    </w:tbl>
    <w:p>
      <w:pPr>
        <w:tabs>
          <w:tab w:val="clear" w:pos="426"/>
        </w:tabs>
        <w:rPr>
          <w:rFonts w:cs="Arial"/>
          <w:bCs/>
          <w:szCs w:val="21"/>
        </w:rPr>
      </w:pPr>
      <w:r>
        <w:rPr>
          <w:rFonts w:hint="eastAsia" w:cs="Arial"/>
          <w:bCs/>
          <w:szCs w:val="21"/>
        </w:rPr>
        <w:t>备注：“产地”是指该产品的实际生产加工地，而非品牌总公司所在地。</w:t>
      </w:r>
    </w:p>
    <w:p>
      <w:pPr>
        <w:pStyle w:val="2"/>
      </w:pPr>
    </w:p>
    <w:p>
      <w:pPr>
        <w:numPr>
          <w:ilvl w:val="0"/>
          <w:numId w:val="34"/>
        </w:numPr>
        <w:adjustRightInd/>
        <w:snapToGrid/>
        <w:spacing w:before="280" w:after="290" w:line="377" w:lineRule="auto"/>
        <w:outlineLvl w:val="2"/>
        <w:rPr>
          <w:b/>
          <w:sz w:val="24"/>
        </w:rPr>
        <w:sectPr>
          <w:pgSz w:w="11906" w:h="16838"/>
          <w:pgMar w:top="1134" w:right="1134" w:bottom="1134" w:left="1838" w:header="851" w:footer="992" w:gutter="0"/>
          <w:cols w:space="720" w:num="1"/>
          <w:titlePg/>
          <w:docGrid w:linePitch="462" w:charSpace="0"/>
        </w:sectPr>
      </w:pPr>
    </w:p>
    <w:p>
      <w:pPr>
        <w:numPr>
          <w:ilvl w:val="0"/>
          <w:numId w:val="34"/>
        </w:numPr>
        <w:adjustRightInd/>
        <w:snapToGrid/>
        <w:spacing w:before="280" w:after="290" w:line="377" w:lineRule="auto"/>
        <w:outlineLvl w:val="2"/>
        <w:rPr>
          <w:b/>
          <w:sz w:val="24"/>
        </w:rPr>
      </w:pPr>
      <w:r>
        <w:rPr>
          <w:rFonts w:hint="eastAsia"/>
          <w:b/>
          <w:sz w:val="24"/>
        </w:rPr>
        <w:t>投标分项报价表</w:t>
      </w:r>
    </w:p>
    <w:p>
      <w:pPr>
        <w:widowControl w:val="0"/>
        <w:shd w:val="clear" w:color="auto" w:fill="auto"/>
        <w:tabs>
          <w:tab w:val="clear" w:pos="426"/>
        </w:tabs>
        <w:adjustRightInd/>
        <w:snapToGrid/>
        <w:spacing w:line="300" w:lineRule="auto"/>
        <w:jc w:val="center"/>
        <w:rPr>
          <w:rFonts w:cs="Times New Roman"/>
          <w:b/>
          <w:bCs/>
          <w:kern w:val="2"/>
          <w:sz w:val="28"/>
          <w:szCs w:val="28"/>
        </w:rPr>
      </w:pPr>
      <w:r>
        <w:rPr>
          <w:rFonts w:hint="eastAsia" w:cs="Times New Roman"/>
          <w:b/>
          <w:bCs/>
          <w:kern w:val="2"/>
          <w:sz w:val="28"/>
          <w:szCs w:val="28"/>
        </w:rPr>
        <w:t>货物详细清单报价表</w:t>
      </w:r>
    </w:p>
    <w:p>
      <w:pPr>
        <w:tabs>
          <w:tab w:val="clear" w:pos="426"/>
        </w:tabs>
        <w:wordWrap w:val="0"/>
      </w:pPr>
      <w:r>
        <w:rPr>
          <w:rFonts w:hint="eastAsia"/>
        </w:rPr>
        <w:t>项目名称：</w:t>
      </w:r>
      <w:r>
        <w:rPr>
          <w:rFonts w:hint="eastAsia"/>
          <w:u w:val="single"/>
        </w:rPr>
        <w:t xml:space="preserve">                                     </w:t>
      </w:r>
      <w:r>
        <w:rPr>
          <w:rFonts w:hint="eastAsia"/>
        </w:rPr>
        <w:t>项目编号：</w:t>
      </w:r>
      <w:r>
        <w:rPr>
          <w:rFonts w:hint="eastAsia" w:ascii="ˎ̥" w:hAnsi="ˎ̥"/>
          <w:sz w:val="18"/>
          <w:szCs w:val="18"/>
          <w:u w:val="single"/>
        </w:rPr>
        <w:t xml:space="preserve">                                </w:t>
      </w:r>
    </w:p>
    <w:tbl>
      <w:tblPr>
        <w:tblStyle w:val="44"/>
        <w:tblW w:w="100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347"/>
        <w:gridCol w:w="1417"/>
        <w:gridCol w:w="851"/>
        <w:gridCol w:w="992"/>
        <w:gridCol w:w="709"/>
        <w:gridCol w:w="737"/>
        <w:gridCol w:w="822"/>
        <w:gridCol w:w="709"/>
        <w:gridCol w:w="928"/>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0" w:type="dxa"/>
            <w:vAlign w:val="center"/>
          </w:tcPr>
          <w:p>
            <w:pPr>
              <w:spacing w:line="240" w:lineRule="auto"/>
              <w:jc w:val="center"/>
              <w:rPr>
                <w:szCs w:val="21"/>
              </w:rPr>
            </w:pPr>
            <w:r>
              <w:rPr>
                <w:rFonts w:hint="eastAsia"/>
                <w:szCs w:val="21"/>
              </w:rPr>
              <w:t>序号</w:t>
            </w:r>
          </w:p>
        </w:tc>
        <w:tc>
          <w:tcPr>
            <w:tcW w:w="1347" w:type="dxa"/>
            <w:vAlign w:val="center"/>
          </w:tcPr>
          <w:p>
            <w:pPr>
              <w:spacing w:line="240" w:lineRule="auto"/>
              <w:jc w:val="center"/>
              <w:rPr>
                <w:szCs w:val="21"/>
              </w:rPr>
            </w:pPr>
            <w:r>
              <w:rPr>
                <w:rFonts w:hint="eastAsia"/>
                <w:szCs w:val="21"/>
              </w:rPr>
              <w:t>货物名称</w:t>
            </w:r>
          </w:p>
        </w:tc>
        <w:tc>
          <w:tcPr>
            <w:tcW w:w="1417" w:type="dxa"/>
            <w:vAlign w:val="center"/>
          </w:tcPr>
          <w:p>
            <w:pPr>
              <w:spacing w:line="240" w:lineRule="auto"/>
              <w:jc w:val="center"/>
              <w:rPr>
                <w:szCs w:val="21"/>
              </w:rPr>
            </w:pPr>
            <w:r>
              <w:rPr>
                <w:rFonts w:hint="eastAsia"/>
                <w:szCs w:val="21"/>
              </w:rPr>
              <w:t>规格/型号</w:t>
            </w:r>
          </w:p>
        </w:tc>
        <w:tc>
          <w:tcPr>
            <w:tcW w:w="851" w:type="dxa"/>
            <w:vAlign w:val="center"/>
          </w:tcPr>
          <w:p>
            <w:pPr>
              <w:spacing w:line="240" w:lineRule="auto"/>
              <w:jc w:val="center"/>
              <w:rPr>
                <w:b/>
                <w:szCs w:val="21"/>
              </w:rPr>
            </w:pPr>
            <w:r>
              <w:rPr>
                <w:rFonts w:hint="eastAsia"/>
                <w:b/>
                <w:szCs w:val="21"/>
              </w:rPr>
              <w:t>原产地</w:t>
            </w:r>
          </w:p>
        </w:tc>
        <w:tc>
          <w:tcPr>
            <w:tcW w:w="992" w:type="dxa"/>
            <w:vAlign w:val="center"/>
          </w:tcPr>
          <w:p>
            <w:pPr>
              <w:spacing w:line="240" w:lineRule="auto"/>
              <w:jc w:val="center"/>
              <w:rPr>
                <w:szCs w:val="21"/>
              </w:rPr>
            </w:pPr>
            <w:r>
              <w:rPr>
                <w:rFonts w:hint="eastAsia"/>
                <w:szCs w:val="21"/>
              </w:rPr>
              <w:t>制造商名称</w:t>
            </w:r>
          </w:p>
        </w:tc>
        <w:tc>
          <w:tcPr>
            <w:tcW w:w="709" w:type="dxa"/>
            <w:vAlign w:val="center"/>
          </w:tcPr>
          <w:p>
            <w:pPr>
              <w:spacing w:line="240" w:lineRule="auto"/>
              <w:jc w:val="center"/>
              <w:rPr>
                <w:szCs w:val="21"/>
              </w:rPr>
            </w:pPr>
            <w:r>
              <w:rPr>
                <w:rFonts w:hint="eastAsia"/>
                <w:szCs w:val="21"/>
              </w:rPr>
              <w:t>数量</w:t>
            </w:r>
          </w:p>
        </w:tc>
        <w:tc>
          <w:tcPr>
            <w:tcW w:w="737" w:type="dxa"/>
            <w:vAlign w:val="center"/>
          </w:tcPr>
          <w:p>
            <w:pPr>
              <w:spacing w:line="240" w:lineRule="auto"/>
              <w:jc w:val="center"/>
              <w:rPr>
                <w:szCs w:val="21"/>
              </w:rPr>
            </w:pPr>
            <w:r>
              <w:rPr>
                <w:rFonts w:hint="eastAsia"/>
                <w:szCs w:val="21"/>
              </w:rPr>
              <w:t>单位</w:t>
            </w:r>
          </w:p>
        </w:tc>
        <w:tc>
          <w:tcPr>
            <w:tcW w:w="822" w:type="dxa"/>
            <w:vAlign w:val="center"/>
          </w:tcPr>
          <w:p>
            <w:pPr>
              <w:spacing w:line="240" w:lineRule="auto"/>
              <w:jc w:val="center"/>
              <w:rPr>
                <w:szCs w:val="21"/>
              </w:rPr>
            </w:pPr>
            <w:r>
              <w:rPr>
                <w:rFonts w:hint="eastAsia"/>
                <w:szCs w:val="21"/>
              </w:rPr>
              <w:t>是否核心产品</w:t>
            </w:r>
          </w:p>
        </w:tc>
        <w:tc>
          <w:tcPr>
            <w:tcW w:w="709" w:type="dxa"/>
            <w:vAlign w:val="center"/>
          </w:tcPr>
          <w:p>
            <w:pPr>
              <w:spacing w:line="240" w:lineRule="auto"/>
              <w:jc w:val="center"/>
              <w:rPr>
                <w:szCs w:val="21"/>
              </w:rPr>
            </w:pPr>
            <w:r>
              <w:rPr>
                <w:rFonts w:hint="eastAsia"/>
                <w:szCs w:val="21"/>
              </w:rPr>
              <w:t>单价(元)</w:t>
            </w:r>
          </w:p>
        </w:tc>
        <w:tc>
          <w:tcPr>
            <w:tcW w:w="928" w:type="dxa"/>
            <w:vAlign w:val="center"/>
          </w:tcPr>
          <w:p>
            <w:pPr>
              <w:spacing w:line="240" w:lineRule="auto"/>
              <w:jc w:val="center"/>
              <w:rPr>
                <w:szCs w:val="21"/>
              </w:rPr>
            </w:pPr>
            <w:r>
              <w:rPr>
                <w:rFonts w:hint="eastAsia"/>
                <w:szCs w:val="21"/>
              </w:rPr>
              <w:t>合价(元)</w:t>
            </w:r>
          </w:p>
        </w:tc>
        <w:tc>
          <w:tcPr>
            <w:tcW w:w="956" w:type="dxa"/>
            <w:vAlign w:val="center"/>
          </w:tcPr>
          <w:p>
            <w:pPr>
              <w:spacing w:line="240" w:lineRule="auto"/>
              <w:jc w:val="center"/>
              <w:rPr>
                <w:szCs w:val="21"/>
              </w:rPr>
            </w:pPr>
            <w:r>
              <w:rPr>
                <w:rFonts w:hint="eastAsia"/>
                <w:szCs w:val="21"/>
              </w:rPr>
              <w:t>财政预算限额（元）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0" w:type="dxa"/>
            <w:vAlign w:val="center"/>
          </w:tcPr>
          <w:p>
            <w:pPr>
              <w:spacing w:line="240" w:lineRule="auto"/>
              <w:jc w:val="center"/>
              <w:rPr>
                <w:sz w:val="24"/>
              </w:rPr>
            </w:pPr>
          </w:p>
        </w:tc>
        <w:tc>
          <w:tcPr>
            <w:tcW w:w="1347" w:type="dxa"/>
            <w:vAlign w:val="center"/>
          </w:tcPr>
          <w:p>
            <w:pPr>
              <w:spacing w:line="240" w:lineRule="auto"/>
              <w:jc w:val="center"/>
              <w:rPr>
                <w:sz w:val="24"/>
              </w:rPr>
            </w:pPr>
          </w:p>
        </w:tc>
        <w:tc>
          <w:tcPr>
            <w:tcW w:w="1417" w:type="dxa"/>
            <w:vAlign w:val="center"/>
          </w:tcPr>
          <w:p>
            <w:pPr>
              <w:spacing w:line="240" w:lineRule="auto"/>
              <w:jc w:val="center"/>
              <w:rPr>
                <w:sz w:val="24"/>
              </w:rPr>
            </w:pPr>
          </w:p>
        </w:tc>
        <w:tc>
          <w:tcPr>
            <w:tcW w:w="851" w:type="dxa"/>
            <w:vAlign w:val="center"/>
          </w:tcPr>
          <w:p>
            <w:pPr>
              <w:spacing w:line="240" w:lineRule="auto"/>
              <w:jc w:val="center"/>
              <w:rPr>
                <w:sz w:val="24"/>
              </w:rPr>
            </w:pPr>
          </w:p>
        </w:tc>
        <w:tc>
          <w:tcPr>
            <w:tcW w:w="99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737" w:type="dxa"/>
            <w:vAlign w:val="center"/>
          </w:tcPr>
          <w:p>
            <w:pPr>
              <w:spacing w:line="240" w:lineRule="auto"/>
              <w:jc w:val="center"/>
              <w:rPr>
                <w:sz w:val="24"/>
              </w:rPr>
            </w:pPr>
          </w:p>
        </w:tc>
        <w:tc>
          <w:tcPr>
            <w:tcW w:w="82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928" w:type="dxa"/>
            <w:vAlign w:val="center"/>
          </w:tcPr>
          <w:p>
            <w:pPr>
              <w:spacing w:line="240" w:lineRule="auto"/>
              <w:jc w:val="center"/>
              <w:rPr>
                <w:sz w:val="24"/>
              </w:rPr>
            </w:pPr>
          </w:p>
        </w:tc>
        <w:tc>
          <w:tcPr>
            <w:tcW w:w="956"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0" w:type="dxa"/>
            <w:vAlign w:val="center"/>
          </w:tcPr>
          <w:p>
            <w:pPr>
              <w:spacing w:line="240" w:lineRule="auto"/>
              <w:jc w:val="center"/>
              <w:rPr>
                <w:sz w:val="24"/>
              </w:rPr>
            </w:pPr>
          </w:p>
        </w:tc>
        <w:tc>
          <w:tcPr>
            <w:tcW w:w="1347" w:type="dxa"/>
            <w:vAlign w:val="center"/>
          </w:tcPr>
          <w:p>
            <w:pPr>
              <w:spacing w:line="240" w:lineRule="auto"/>
              <w:jc w:val="center"/>
              <w:rPr>
                <w:sz w:val="24"/>
              </w:rPr>
            </w:pPr>
          </w:p>
        </w:tc>
        <w:tc>
          <w:tcPr>
            <w:tcW w:w="1417" w:type="dxa"/>
            <w:vAlign w:val="center"/>
          </w:tcPr>
          <w:p>
            <w:pPr>
              <w:spacing w:line="240" w:lineRule="auto"/>
              <w:jc w:val="center"/>
              <w:rPr>
                <w:sz w:val="24"/>
              </w:rPr>
            </w:pPr>
          </w:p>
        </w:tc>
        <w:tc>
          <w:tcPr>
            <w:tcW w:w="851" w:type="dxa"/>
            <w:vAlign w:val="center"/>
          </w:tcPr>
          <w:p>
            <w:pPr>
              <w:spacing w:line="240" w:lineRule="auto"/>
              <w:jc w:val="center"/>
              <w:rPr>
                <w:sz w:val="24"/>
              </w:rPr>
            </w:pPr>
          </w:p>
        </w:tc>
        <w:tc>
          <w:tcPr>
            <w:tcW w:w="99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737" w:type="dxa"/>
            <w:vAlign w:val="center"/>
          </w:tcPr>
          <w:p>
            <w:pPr>
              <w:spacing w:line="240" w:lineRule="auto"/>
              <w:jc w:val="center"/>
              <w:rPr>
                <w:sz w:val="24"/>
              </w:rPr>
            </w:pPr>
          </w:p>
        </w:tc>
        <w:tc>
          <w:tcPr>
            <w:tcW w:w="82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928" w:type="dxa"/>
            <w:vAlign w:val="center"/>
          </w:tcPr>
          <w:p>
            <w:pPr>
              <w:spacing w:line="240" w:lineRule="auto"/>
              <w:jc w:val="center"/>
              <w:rPr>
                <w:sz w:val="24"/>
              </w:rPr>
            </w:pPr>
          </w:p>
        </w:tc>
        <w:tc>
          <w:tcPr>
            <w:tcW w:w="956"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0" w:type="dxa"/>
            <w:vAlign w:val="center"/>
          </w:tcPr>
          <w:p>
            <w:pPr>
              <w:spacing w:line="240" w:lineRule="auto"/>
              <w:jc w:val="center"/>
              <w:rPr>
                <w:sz w:val="24"/>
              </w:rPr>
            </w:pPr>
          </w:p>
        </w:tc>
        <w:tc>
          <w:tcPr>
            <w:tcW w:w="1347" w:type="dxa"/>
            <w:vAlign w:val="center"/>
          </w:tcPr>
          <w:p>
            <w:pPr>
              <w:spacing w:line="240" w:lineRule="auto"/>
              <w:jc w:val="center"/>
              <w:rPr>
                <w:sz w:val="24"/>
              </w:rPr>
            </w:pPr>
          </w:p>
        </w:tc>
        <w:tc>
          <w:tcPr>
            <w:tcW w:w="1417" w:type="dxa"/>
            <w:vAlign w:val="center"/>
          </w:tcPr>
          <w:p>
            <w:pPr>
              <w:spacing w:line="240" w:lineRule="auto"/>
              <w:jc w:val="center"/>
              <w:rPr>
                <w:sz w:val="24"/>
              </w:rPr>
            </w:pPr>
          </w:p>
        </w:tc>
        <w:tc>
          <w:tcPr>
            <w:tcW w:w="851" w:type="dxa"/>
            <w:vAlign w:val="center"/>
          </w:tcPr>
          <w:p>
            <w:pPr>
              <w:spacing w:line="240" w:lineRule="auto"/>
              <w:jc w:val="center"/>
              <w:rPr>
                <w:sz w:val="24"/>
              </w:rPr>
            </w:pPr>
          </w:p>
        </w:tc>
        <w:tc>
          <w:tcPr>
            <w:tcW w:w="99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737" w:type="dxa"/>
            <w:vAlign w:val="center"/>
          </w:tcPr>
          <w:p>
            <w:pPr>
              <w:spacing w:line="240" w:lineRule="auto"/>
              <w:jc w:val="center"/>
              <w:rPr>
                <w:sz w:val="24"/>
              </w:rPr>
            </w:pPr>
          </w:p>
        </w:tc>
        <w:tc>
          <w:tcPr>
            <w:tcW w:w="82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928" w:type="dxa"/>
            <w:vAlign w:val="center"/>
          </w:tcPr>
          <w:p>
            <w:pPr>
              <w:spacing w:line="240" w:lineRule="auto"/>
              <w:jc w:val="center"/>
              <w:rPr>
                <w:sz w:val="24"/>
              </w:rPr>
            </w:pPr>
          </w:p>
        </w:tc>
        <w:tc>
          <w:tcPr>
            <w:tcW w:w="956"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0" w:type="dxa"/>
            <w:vAlign w:val="center"/>
          </w:tcPr>
          <w:p>
            <w:pPr>
              <w:spacing w:line="240" w:lineRule="auto"/>
              <w:jc w:val="center"/>
              <w:rPr>
                <w:sz w:val="24"/>
              </w:rPr>
            </w:pPr>
          </w:p>
        </w:tc>
        <w:tc>
          <w:tcPr>
            <w:tcW w:w="1347" w:type="dxa"/>
            <w:vAlign w:val="center"/>
          </w:tcPr>
          <w:p>
            <w:pPr>
              <w:spacing w:line="240" w:lineRule="auto"/>
              <w:jc w:val="center"/>
              <w:rPr>
                <w:sz w:val="24"/>
              </w:rPr>
            </w:pPr>
          </w:p>
        </w:tc>
        <w:tc>
          <w:tcPr>
            <w:tcW w:w="1417" w:type="dxa"/>
            <w:vAlign w:val="center"/>
          </w:tcPr>
          <w:p>
            <w:pPr>
              <w:spacing w:line="240" w:lineRule="auto"/>
              <w:jc w:val="center"/>
              <w:rPr>
                <w:sz w:val="24"/>
              </w:rPr>
            </w:pPr>
          </w:p>
        </w:tc>
        <w:tc>
          <w:tcPr>
            <w:tcW w:w="851" w:type="dxa"/>
            <w:vAlign w:val="center"/>
          </w:tcPr>
          <w:p>
            <w:pPr>
              <w:spacing w:line="240" w:lineRule="auto"/>
              <w:jc w:val="center"/>
              <w:rPr>
                <w:sz w:val="24"/>
              </w:rPr>
            </w:pPr>
          </w:p>
        </w:tc>
        <w:tc>
          <w:tcPr>
            <w:tcW w:w="99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737" w:type="dxa"/>
            <w:vAlign w:val="center"/>
          </w:tcPr>
          <w:p>
            <w:pPr>
              <w:spacing w:line="240" w:lineRule="auto"/>
              <w:jc w:val="center"/>
              <w:rPr>
                <w:sz w:val="24"/>
              </w:rPr>
            </w:pPr>
          </w:p>
        </w:tc>
        <w:tc>
          <w:tcPr>
            <w:tcW w:w="82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928" w:type="dxa"/>
            <w:vAlign w:val="center"/>
          </w:tcPr>
          <w:p>
            <w:pPr>
              <w:spacing w:line="240" w:lineRule="auto"/>
              <w:jc w:val="center"/>
              <w:rPr>
                <w:sz w:val="24"/>
              </w:rPr>
            </w:pPr>
          </w:p>
        </w:tc>
        <w:tc>
          <w:tcPr>
            <w:tcW w:w="956"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0" w:type="dxa"/>
            <w:vAlign w:val="center"/>
          </w:tcPr>
          <w:p>
            <w:pPr>
              <w:spacing w:line="240" w:lineRule="auto"/>
              <w:jc w:val="center"/>
              <w:rPr>
                <w:sz w:val="24"/>
              </w:rPr>
            </w:pPr>
          </w:p>
        </w:tc>
        <w:tc>
          <w:tcPr>
            <w:tcW w:w="1347" w:type="dxa"/>
            <w:vAlign w:val="center"/>
          </w:tcPr>
          <w:p>
            <w:pPr>
              <w:spacing w:line="240" w:lineRule="auto"/>
              <w:jc w:val="center"/>
              <w:rPr>
                <w:sz w:val="24"/>
              </w:rPr>
            </w:pPr>
          </w:p>
        </w:tc>
        <w:tc>
          <w:tcPr>
            <w:tcW w:w="1417" w:type="dxa"/>
            <w:vAlign w:val="center"/>
          </w:tcPr>
          <w:p>
            <w:pPr>
              <w:spacing w:line="240" w:lineRule="auto"/>
              <w:jc w:val="center"/>
              <w:rPr>
                <w:sz w:val="24"/>
              </w:rPr>
            </w:pPr>
          </w:p>
        </w:tc>
        <w:tc>
          <w:tcPr>
            <w:tcW w:w="851" w:type="dxa"/>
            <w:vAlign w:val="center"/>
          </w:tcPr>
          <w:p>
            <w:pPr>
              <w:spacing w:line="240" w:lineRule="auto"/>
              <w:jc w:val="center"/>
              <w:rPr>
                <w:sz w:val="24"/>
              </w:rPr>
            </w:pPr>
          </w:p>
        </w:tc>
        <w:tc>
          <w:tcPr>
            <w:tcW w:w="99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737" w:type="dxa"/>
            <w:vAlign w:val="center"/>
          </w:tcPr>
          <w:p>
            <w:pPr>
              <w:spacing w:line="240" w:lineRule="auto"/>
              <w:jc w:val="center"/>
              <w:rPr>
                <w:sz w:val="24"/>
              </w:rPr>
            </w:pPr>
          </w:p>
        </w:tc>
        <w:tc>
          <w:tcPr>
            <w:tcW w:w="822" w:type="dxa"/>
            <w:vAlign w:val="center"/>
          </w:tcPr>
          <w:p>
            <w:pPr>
              <w:spacing w:line="240" w:lineRule="auto"/>
              <w:jc w:val="center"/>
              <w:rPr>
                <w:sz w:val="24"/>
              </w:rPr>
            </w:pPr>
          </w:p>
        </w:tc>
        <w:tc>
          <w:tcPr>
            <w:tcW w:w="709" w:type="dxa"/>
            <w:vAlign w:val="center"/>
          </w:tcPr>
          <w:p>
            <w:pPr>
              <w:spacing w:line="240" w:lineRule="auto"/>
              <w:jc w:val="center"/>
              <w:rPr>
                <w:sz w:val="24"/>
              </w:rPr>
            </w:pPr>
          </w:p>
        </w:tc>
        <w:tc>
          <w:tcPr>
            <w:tcW w:w="928" w:type="dxa"/>
            <w:vAlign w:val="center"/>
          </w:tcPr>
          <w:p>
            <w:pPr>
              <w:spacing w:line="240" w:lineRule="auto"/>
              <w:jc w:val="center"/>
              <w:rPr>
                <w:sz w:val="24"/>
              </w:rPr>
            </w:pPr>
          </w:p>
        </w:tc>
        <w:tc>
          <w:tcPr>
            <w:tcW w:w="956"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24" w:type="dxa"/>
            <w:gridSpan w:val="9"/>
            <w:vAlign w:val="center"/>
          </w:tcPr>
          <w:p>
            <w:pPr>
              <w:spacing w:line="240" w:lineRule="auto"/>
              <w:jc w:val="left"/>
              <w:rPr>
                <w:sz w:val="24"/>
              </w:rPr>
            </w:pPr>
            <w:r>
              <w:rPr>
                <w:rFonts w:hint="eastAsia"/>
                <w:sz w:val="24"/>
              </w:rPr>
              <w:t xml:space="preserve">合计（即：投标总价；币种：人民币；单位：元）：     大写：    </w:t>
            </w:r>
          </w:p>
        </w:tc>
        <w:tc>
          <w:tcPr>
            <w:tcW w:w="928" w:type="dxa"/>
            <w:vAlign w:val="center"/>
          </w:tcPr>
          <w:p>
            <w:pPr>
              <w:spacing w:line="240" w:lineRule="auto"/>
              <w:jc w:val="center"/>
              <w:rPr>
                <w:sz w:val="24"/>
              </w:rPr>
            </w:pPr>
          </w:p>
        </w:tc>
        <w:tc>
          <w:tcPr>
            <w:tcW w:w="956" w:type="dxa"/>
            <w:vAlign w:val="center"/>
          </w:tcPr>
          <w:p>
            <w:pPr>
              <w:spacing w:line="240" w:lineRule="auto"/>
              <w:jc w:val="center"/>
              <w:rPr>
                <w:sz w:val="24"/>
              </w:rPr>
            </w:pPr>
          </w:p>
        </w:tc>
      </w:tr>
    </w:tbl>
    <w:p>
      <w:pPr>
        <w:spacing w:line="240" w:lineRule="auto"/>
        <w:rPr>
          <w:b/>
          <w:sz w:val="24"/>
        </w:rPr>
      </w:pPr>
      <w:r>
        <w:rPr>
          <w:rFonts w:hint="eastAsia"/>
          <w:b/>
          <w:sz w:val="24"/>
        </w:rPr>
        <w:t>备注：</w:t>
      </w:r>
    </w:p>
    <w:p>
      <w:pPr>
        <w:spacing w:line="240" w:lineRule="auto"/>
        <w:ind w:firstLine="424" w:firstLineChars="176"/>
        <w:rPr>
          <w:b/>
          <w:sz w:val="24"/>
        </w:rPr>
      </w:pPr>
      <w:r>
        <w:rPr>
          <w:rFonts w:hint="eastAsia"/>
          <w:b/>
          <w:sz w:val="24"/>
        </w:rPr>
        <w:t>1.</w:t>
      </w:r>
      <w:r>
        <w:rPr>
          <w:rFonts w:hint="eastAsia"/>
        </w:rPr>
        <w:t xml:space="preserve"> </w:t>
      </w:r>
      <w:r>
        <w:rPr>
          <w:rFonts w:hint="eastAsia"/>
          <w:b/>
          <w:sz w:val="24"/>
        </w:rPr>
        <w:t>请根据“第三章</w:t>
      </w:r>
      <w:r>
        <w:rPr>
          <w:b/>
          <w:sz w:val="24"/>
        </w:rPr>
        <w:t xml:space="preserve"> 项目需求” “</w:t>
      </w:r>
      <w:r>
        <w:rPr>
          <w:rFonts w:hint="eastAsia"/>
          <w:b/>
          <w:sz w:val="24"/>
        </w:rPr>
        <w:t>一</w:t>
      </w:r>
      <w:r>
        <w:rPr>
          <w:b/>
          <w:sz w:val="24"/>
        </w:rPr>
        <w:t>、货物清单</w:t>
      </w:r>
      <w:r>
        <w:rPr>
          <w:rFonts w:hint="eastAsia"/>
          <w:b/>
          <w:sz w:val="24"/>
        </w:rPr>
        <w:t>一览表</w:t>
      </w:r>
      <w:r>
        <w:rPr>
          <w:b/>
          <w:sz w:val="24"/>
        </w:rPr>
        <w:t>”中的“（</w:t>
      </w:r>
      <w:r>
        <w:rPr>
          <w:rFonts w:hint="eastAsia"/>
          <w:b/>
          <w:sz w:val="24"/>
        </w:rPr>
        <w:t>二</w:t>
      </w:r>
      <w:r>
        <w:rPr>
          <w:b/>
          <w:sz w:val="24"/>
        </w:rPr>
        <w:t>）货物清单</w:t>
      </w:r>
      <w:r>
        <w:rPr>
          <w:rFonts w:hint="eastAsia"/>
          <w:b/>
          <w:sz w:val="24"/>
        </w:rPr>
        <w:t>明细</w:t>
      </w:r>
      <w:r>
        <w:rPr>
          <w:b/>
          <w:sz w:val="24"/>
        </w:rPr>
        <w:t>”填写；本表格式不得修改。</w:t>
      </w:r>
    </w:p>
    <w:p>
      <w:pPr>
        <w:spacing w:line="240" w:lineRule="auto"/>
        <w:ind w:firstLine="424" w:firstLineChars="176"/>
        <w:rPr>
          <w:b/>
          <w:sz w:val="24"/>
        </w:rPr>
      </w:pPr>
      <w:r>
        <w:rPr>
          <w:rFonts w:hint="eastAsia"/>
          <w:b/>
          <w:sz w:val="24"/>
        </w:rPr>
        <w:t>2</w:t>
      </w:r>
      <w:r>
        <w:rPr>
          <w:b/>
          <w:sz w:val="24"/>
        </w:rPr>
        <w:t>.</w:t>
      </w:r>
      <w:r>
        <w:rPr>
          <w:rFonts w:hint="eastAsia"/>
          <w:b/>
          <w:sz w:val="24"/>
        </w:rPr>
        <w:t>所有价格应按“招标文件”中规定的货币单位填写；投标总价应为以上各分项价格之和；投标总价和项目报价表中单个采购预算条目报价均不得超过对应的财政预算限额，否则将导致无效投标。</w:t>
      </w:r>
    </w:p>
    <w:p>
      <w:pPr>
        <w:spacing w:line="240" w:lineRule="auto"/>
        <w:ind w:firstLine="424" w:firstLineChars="176"/>
        <w:rPr>
          <w:b/>
          <w:sz w:val="24"/>
        </w:rPr>
      </w:pPr>
      <w:r>
        <w:rPr>
          <w:rFonts w:hint="eastAsia"/>
          <w:b/>
          <w:sz w:val="24"/>
        </w:rPr>
        <w:t>4.单价、合价和投标总价为包干价，即三者均应包含设备的价款、包装、运输、装卸、安装、调试、技术指导、培训、咨询、服务、保险、税费、检测、验收合格交付使用之前以及技术和售后服务等其他各项有关费用。</w:t>
      </w:r>
    </w:p>
    <w:p>
      <w:pPr>
        <w:spacing w:line="240" w:lineRule="auto"/>
        <w:ind w:firstLine="424" w:firstLineChars="176"/>
        <w:rPr>
          <w:b/>
          <w:sz w:val="24"/>
        </w:rPr>
      </w:pPr>
      <w:r>
        <w:rPr>
          <w:rFonts w:hint="eastAsia"/>
          <w:b/>
          <w:sz w:val="24"/>
        </w:rPr>
        <w:t>5.开标一览表的投标总价必须与投标分项报价表的投标总价一致。</w:t>
      </w:r>
    </w:p>
    <w:p>
      <w:pPr>
        <w:spacing w:line="240" w:lineRule="auto"/>
        <w:ind w:firstLine="424" w:firstLineChars="176"/>
        <w:rPr>
          <w:b/>
          <w:sz w:val="24"/>
        </w:rPr>
      </w:pPr>
      <w:r>
        <w:rPr>
          <w:b/>
          <w:sz w:val="24"/>
        </w:rPr>
        <w:t>6</w:t>
      </w:r>
      <w:r>
        <w:rPr>
          <w:rFonts w:hint="eastAsia"/>
          <w:b/>
          <w:sz w:val="24"/>
        </w:rPr>
        <w:t>.“原产地”是指该产品的实际生产加工地，而非品牌总公司所在地。</w:t>
      </w:r>
    </w:p>
    <w:p>
      <w:pPr>
        <w:spacing w:line="240" w:lineRule="auto"/>
        <w:ind w:firstLine="424" w:firstLineChars="176"/>
        <w:rPr>
          <w:b/>
          <w:sz w:val="24"/>
        </w:rPr>
      </w:pPr>
      <w:r>
        <w:rPr>
          <w:rFonts w:hint="eastAsia"/>
          <w:b/>
          <w:sz w:val="24"/>
        </w:rPr>
        <w:t>8.</w:t>
      </w:r>
      <w:r>
        <w:rPr>
          <w:rFonts w:hint="eastAsia"/>
        </w:rPr>
        <w:t xml:space="preserve"> </w:t>
      </w:r>
      <w:r>
        <w:rPr>
          <w:rFonts w:hint="eastAsia"/>
          <w:b/>
          <w:sz w:val="24"/>
        </w:rPr>
        <w:t>如所投产品属于定制类的非量产货物，投标人无需填写型号等，但应在开标一览表中予以备注。</w:t>
      </w:r>
    </w:p>
    <w:p>
      <w:pPr>
        <w:widowControl w:val="0"/>
        <w:shd w:val="clear" w:color="auto" w:fill="auto"/>
        <w:tabs>
          <w:tab w:val="clear" w:pos="426"/>
        </w:tabs>
        <w:adjustRightInd/>
        <w:snapToGrid/>
        <w:spacing w:line="300" w:lineRule="auto"/>
        <w:jc w:val="center"/>
        <w:rPr>
          <w:rFonts w:cs="Times New Roman"/>
          <w:b/>
          <w:bCs/>
          <w:kern w:val="2"/>
          <w:sz w:val="32"/>
          <w:szCs w:val="32"/>
        </w:rPr>
      </w:pPr>
    </w:p>
    <w:p>
      <w:pPr>
        <w:tabs>
          <w:tab w:val="clear" w:pos="426"/>
        </w:tabs>
        <w:spacing w:line="520" w:lineRule="exact"/>
        <w:rPr>
          <w:spacing w:val="4"/>
        </w:rPr>
      </w:pPr>
    </w:p>
    <w:p>
      <w:pPr>
        <w:tabs>
          <w:tab w:val="clear" w:pos="426"/>
        </w:tabs>
        <w:spacing w:line="520" w:lineRule="exact"/>
        <w:rPr>
          <w:spacing w:val="4"/>
        </w:rPr>
      </w:pPr>
    </w:p>
    <w:p>
      <w:pPr>
        <w:tabs>
          <w:tab w:val="clear" w:pos="426"/>
        </w:tabs>
        <w:spacing w:line="520" w:lineRule="exact"/>
        <w:rPr>
          <w:spacing w:val="4"/>
        </w:rPr>
      </w:pPr>
    </w:p>
    <w:p>
      <w:pPr>
        <w:numPr>
          <w:ilvl w:val="0"/>
          <w:numId w:val="34"/>
        </w:numPr>
        <w:adjustRightInd/>
        <w:snapToGrid/>
        <w:spacing w:before="280" w:after="290" w:line="377" w:lineRule="auto"/>
        <w:outlineLvl w:val="2"/>
        <w:rPr>
          <w:b/>
          <w:sz w:val="24"/>
        </w:rPr>
      </w:pPr>
      <w:r>
        <w:rPr>
          <w:b/>
          <w:bCs/>
        </w:rPr>
        <w:br w:type="page"/>
      </w:r>
      <w:r>
        <w:rPr>
          <w:rFonts w:hint="eastAsia"/>
          <w:b/>
          <w:bCs/>
        </w:rPr>
        <w:t>投标人资质情况</w:t>
      </w:r>
    </w:p>
    <w:p>
      <w:pPr>
        <w:pStyle w:val="2"/>
      </w:pPr>
    </w:p>
    <w:p>
      <w:pPr>
        <w:tabs>
          <w:tab w:val="clear" w:pos="426"/>
        </w:tabs>
        <w:spacing w:line="520" w:lineRule="exact"/>
        <w:rPr>
          <w:spacing w:val="4"/>
          <w:u w:val="single"/>
        </w:rPr>
      </w:pPr>
      <w:bookmarkStart w:id="67" w:name="_Toc50703730"/>
      <w:bookmarkStart w:id="68" w:name="_Toc43264518"/>
      <w:bookmarkStart w:id="69" w:name="_Toc50691037"/>
    </w:p>
    <w:p>
      <w:pPr>
        <w:tabs>
          <w:tab w:val="clear" w:pos="426"/>
        </w:tabs>
        <w:spacing w:line="520" w:lineRule="exact"/>
        <w:rPr>
          <w:spacing w:val="4"/>
          <w:u w:val="single"/>
        </w:rPr>
      </w:pPr>
    </w:p>
    <w:p>
      <w:pPr>
        <w:numPr>
          <w:ilvl w:val="0"/>
          <w:numId w:val="34"/>
        </w:numPr>
        <w:adjustRightInd/>
        <w:snapToGrid/>
        <w:spacing w:before="280" w:after="290" w:line="377" w:lineRule="auto"/>
        <w:jc w:val="left"/>
        <w:outlineLvl w:val="2"/>
        <w:rPr>
          <w:b/>
          <w:sz w:val="24"/>
        </w:rPr>
      </w:pPr>
      <w:bookmarkStart w:id="70" w:name="_Toc43264525"/>
      <w:r>
        <w:rPr>
          <w:spacing w:val="4"/>
          <w:u w:val="single"/>
        </w:rPr>
        <w:br w:type="page"/>
      </w:r>
      <w:r>
        <w:rPr>
          <w:rFonts w:hint="eastAsia"/>
        </w:rPr>
        <w:t>产品授权或代理情况</w:t>
      </w:r>
    </w:p>
    <w:p>
      <w:pPr>
        <w:numPr>
          <w:ilvl w:val="0"/>
          <w:numId w:val="34"/>
        </w:numPr>
        <w:adjustRightInd/>
        <w:snapToGrid/>
        <w:spacing w:before="280" w:after="290" w:line="377" w:lineRule="auto"/>
        <w:outlineLvl w:val="2"/>
        <w:rPr>
          <w:b/>
          <w:sz w:val="24"/>
        </w:rPr>
      </w:pPr>
      <w:r>
        <w:rPr>
          <w:rFonts w:hint="eastAsia"/>
        </w:rPr>
        <w:t>投标人业绩</w:t>
      </w:r>
    </w:p>
    <w:p>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cs="Times New Roman"/>
          <w:bCs/>
          <w:kern w:val="2"/>
          <w:sz w:val="32"/>
          <w:szCs w:val="32"/>
        </w:rPr>
        <w:t>同类业绩情况一览表</w:t>
      </w:r>
    </w:p>
    <w:p>
      <w:pPr>
        <w:tabs>
          <w:tab w:val="clear" w:pos="426"/>
        </w:tabs>
        <w:wordWrap w:val="0"/>
      </w:pPr>
    </w:p>
    <w:p>
      <w:pPr>
        <w:tabs>
          <w:tab w:val="clear" w:pos="426"/>
        </w:tabs>
        <w:wordWrap w:val="0"/>
        <w:rPr>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p>
      <w:pPr>
        <w:tabs>
          <w:tab w:val="clear" w:pos="426"/>
        </w:tabs>
        <w:spacing w:line="440" w:lineRule="exact"/>
        <w:jc w:val="center"/>
        <w:rPr>
          <w:b/>
          <w:bCs/>
          <w:sz w:val="28"/>
          <w:szCs w:val="28"/>
        </w:rPr>
      </w:pPr>
      <w:r>
        <w:rPr>
          <w:rFonts w:hint="eastAsia"/>
          <w:b/>
          <w:bCs/>
          <w:sz w:val="28"/>
          <w:szCs w:val="28"/>
        </w:rPr>
        <w:t>（格式自定）</w:t>
      </w:r>
    </w:p>
    <w:p>
      <w:pPr>
        <w:tabs>
          <w:tab w:val="clear" w:pos="426"/>
        </w:tabs>
        <w:spacing w:line="440" w:lineRule="exact"/>
        <w:rPr>
          <w:bCs/>
        </w:rPr>
      </w:pPr>
    </w:p>
    <w:p>
      <w:pPr>
        <w:tabs>
          <w:tab w:val="clear" w:pos="426"/>
        </w:tabs>
        <w:spacing w:line="440" w:lineRule="exact"/>
        <w:rPr>
          <w:bCs/>
        </w:rPr>
      </w:pPr>
    </w:p>
    <w:p>
      <w:pPr>
        <w:tabs>
          <w:tab w:val="clear" w:pos="426"/>
        </w:tabs>
        <w:spacing w:line="440" w:lineRule="exact"/>
        <w:rPr>
          <w:bCs/>
        </w:rPr>
      </w:pPr>
    </w:p>
    <w:p>
      <w:pPr>
        <w:tabs>
          <w:tab w:val="clear" w:pos="426"/>
        </w:tabs>
        <w:spacing w:line="440" w:lineRule="exact"/>
        <w:rPr>
          <w:bCs/>
        </w:rPr>
      </w:pPr>
    </w:p>
    <w:p>
      <w:pPr>
        <w:tabs>
          <w:tab w:val="clear" w:pos="426"/>
        </w:tabs>
        <w:spacing w:line="440" w:lineRule="exact"/>
        <w:rPr>
          <w:szCs w:val="21"/>
        </w:rPr>
      </w:pPr>
      <w:r>
        <w:rPr>
          <w:rFonts w:hint="eastAsia"/>
          <w:bCs/>
        </w:rPr>
        <w:t>备注：</w:t>
      </w:r>
      <w:r>
        <w:rPr>
          <w:rFonts w:hint="eastAsia"/>
          <w:szCs w:val="21"/>
        </w:rPr>
        <w:t>根据评审表的要求提交相应资料。</w:t>
      </w:r>
    </w:p>
    <w:p>
      <w:pPr>
        <w:tabs>
          <w:tab w:val="clear" w:pos="426"/>
        </w:tabs>
        <w:spacing w:line="500" w:lineRule="exact"/>
        <w:rPr>
          <w:sz w:val="24"/>
        </w:rPr>
      </w:pPr>
    </w:p>
    <w:p>
      <w:pPr>
        <w:tabs>
          <w:tab w:val="clear" w:pos="426"/>
        </w:tabs>
        <w:ind w:firstLine="424" w:firstLineChars="202"/>
        <w:rPr>
          <w:rFonts w:cs="Arial"/>
          <w:bCs/>
          <w:szCs w:val="21"/>
        </w:rPr>
      </w:pPr>
    </w:p>
    <w:p>
      <w:pPr>
        <w:tabs>
          <w:tab w:val="clear" w:pos="426"/>
        </w:tabs>
        <w:ind w:firstLine="424" w:firstLineChars="202"/>
        <w:rPr>
          <w:rFonts w:cs="Arial"/>
          <w:bCs/>
          <w:szCs w:val="21"/>
        </w:rPr>
      </w:pPr>
    </w:p>
    <w:p>
      <w:pPr>
        <w:tabs>
          <w:tab w:val="clear" w:pos="426"/>
        </w:tabs>
        <w:ind w:firstLine="424" w:firstLineChars="202"/>
        <w:rPr>
          <w:rFonts w:cs="Arial"/>
          <w:bCs/>
          <w:szCs w:val="21"/>
        </w:rPr>
      </w:pPr>
    </w:p>
    <w:p>
      <w:pPr>
        <w:numPr>
          <w:ilvl w:val="0"/>
          <w:numId w:val="34"/>
        </w:numPr>
        <w:adjustRightInd/>
        <w:snapToGrid/>
        <w:spacing w:before="280" w:after="290" w:line="377" w:lineRule="auto"/>
        <w:outlineLvl w:val="2"/>
        <w:rPr>
          <w:b/>
          <w:sz w:val="24"/>
        </w:rPr>
      </w:pPr>
      <w:r>
        <w:rPr>
          <w:rFonts w:cs="Arial"/>
          <w:bCs/>
        </w:rPr>
        <w:br w:type="page"/>
      </w:r>
      <w:r>
        <w:rPr>
          <w:rFonts w:hint="eastAsia"/>
        </w:rPr>
        <w:t>诚信档案</w:t>
      </w:r>
    </w:p>
    <w:p>
      <w:pPr>
        <w:pStyle w:val="2"/>
      </w:pPr>
    </w:p>
    <w:p>
      <w:pPr>
        <w:tabs>
          <w:tab w:val="clear" w:pos="426"/>
        </w:tabs>
        <w:ind w:left="-2" w:leftChars="-1" w:firstLine="2"/>
        <w:jc w:val="center"/>
        <w:rPr>
          <w:b/>
          <w:szCs w:val="21"/>
        </w:rPr>
      </w:pPr>
      <w:r>
        <w:rPr>
          <w:rFonts w:hint="eastAsia"/>
          <w:b/>
          <w:szCs w:val="21"/>
        </w:rPr>
        <w:t>诚信承诺函</w:t>
      </w:r>
    </w:p>
    <w:p>
      <w:pPr>
        <w:wordWrap w:val="0"/>
        <w:ind w:firstLine="422" w:firstLineChars="200"/>
        <w:jc w:val="left"/>
        <w:rPr>
          <w:szCs w:val="21"/>
          <w:u w:val="single"/>
        </w:rPr>
      </w:pPr>
      <w:r>
        <w:rPr>
          <w:rFonts w:hint="eastAsia"/>
          <w:b/>
          <w:bCs/>
          <w:u w:val="single"/>
        </w:rPr>
        <w:t>深圳市深水水务咨询有限公司：</w:t>
      </w:r>
    </w:p>
    <w:p>
      <w:pPr>
        <w:pStyle w:val="40"/>
        <w:ind w:firstLine="420" w:firstLineChars="200"/>
        <w:rPr>
          <w:b/>
          <w:color w:val="FF0000"/>
          <w:sz w:val="21"/>
          <w:szCs w:val="21"/>
        </w:rPr>
      </w:pPr>
      <w:r>
        <w:rPr>
          <w:rFonts w:hint="eastAsia"/>
          <w:sz w:val="21"/>
          <w:szCs w:val="21"/>
        </w:rPr>
        <w:t>根据《深圳市政府采购供应商诚信管理暂行办法》深财规〔2017〕8号相关规定，在参与贵中心组织的       （项目名称）    （项目编号：      ） 政府采购活动中，我单位承诺：</w:t>
      </w:r>
      <w:r>
        <w:rPr>
          <w:rFonts w:hint="eastAsia"/>
          <w:b/>
          <w:color w:val="FF0000"/>
          <w:sz w:val="21"/>
          <w:szCs w:val="21"/>
        </w:rPr>
        <w:t>本公司不存在违反《深圳市政府采购供应商诚信管理暂行办法》</w:t>
      </w:r>
      <w:r>
        <w:rPr>
          <w:b/>
          <w:color w:val="FF0000"/>
          <w:sz w:val="21"/>
          <w:szCs w:val="21"/>
        </w:rPr>
        <w:t>的</w:t>
      </w:r>
      <w:r>
        <w:rPr>
          <w:rFonts w:hint="eastAsia"/>
          <w:b/>
          <w:color w:val="FF0000"/>
          <w:sz w:val="21"/>
          <w:szCs w:val="21"/>
        </w:rPr>
        <w:t>情形。</w:t>
      </w:r>
    </w:p>
    <w:p>
      <w:pPr>
        <w:pStyle w:val="40"/>
        <w:ind w:firstLine="420" w:firstLineChars="200"/>
        <w:rPr>
          <w:sz w:val="21"/>
          <w:szCs w:val="21"/>
        </w:rPr>
      </w:pPr>
      <w:r>
        <w:rPr>
          <w:rFonts w:hint="eastAsia"/>
          <w:sz w:val="21"/>
          <w:szCs w:val="21"/>
        </w:rPr>
        <w:t>我单位对该承诺的真实性负责，如有不实，自愿接受相关法律法规的处罚及其他一切后果（含自愿接受将此不良行为记入</w:t>
      </w:r>
      <w:r>
        <w:rPr>
          <w:sz w:val="21"/>
          <w:szCs w:val="21"/>
        </w:rPr>
        <w:t>供应商诚信档案</w:t>
      </w:r>
      <w:r>
        <w:rPr>
          <w:rFonts w:hint="eastAsia"/>
          <w:sz w:val="21"/>
          <w:szCs w:val="21"/>
        </w:rPr>
        <w:t>和自愿接受虚假响应导致禁止参加政府采购活动的处罚等）。</w:t>
      </w:r>
    </w:p>
    <w:p>
      <w:pPr>
        <w:ind w:firstLine="420" w:firstLineChars="200"/>
        <w:rPr>
          <w:szCs w:val="21"/>
          <w:u w:val="single"/>
        </w:rPr>
      </w:pPr>
      <w:r>
        <w:rPr>
          <w:rFonts w:hint="eastAsia"/>
          <w:szCs w:val="21"/>
        </w:rPr>
        <w:t xml:space="preserve">    特此承诺。</w:t>
      </w:r>
    </w:p>
    <w:p>
      <w:pPr>
        <w:rPr>
          <w:szCs w:val="21"/>
          <w:u w:val="single"/>
        </w:rPr>
      </w:pPr>
    </w:p>
    <w:p>
      <w:pPr>
        <w:ind w:firstLine="4620" w:firstLineChars="2200"/>
        <w:jc w:val="left"/>
        <w:rPr>
          <w:szCs w:val="21"/>
        </w:rPr>
      </w:pPr>
      <w:r>
        <w:rPr>
          <w:rFonts w:hint="eastAsia"/>
          <w:szCs w:val="21"/>
        </w:rPr>
        <w:t xml:space="preserve">投标单位： </w:t>
      </w:r>
    </w:p>
    <w:p>
      <w:pPr>
        <w:tabs>
          <w:tab w:val="clear" w:pos="426"/>
        </w:tabs>
        <w:adjustRightInd/>
        <w:snapToGrid/>
        <w:spacing w:before="280" w:after="290" w:line="377" w:lineRule="auto"/>
        <w:ind w:left="634" w:leftChars="302"/>
        <w:jc w:val="right"/>
        <w:rPr>
          <w:szCs w:val="21"/>
        </w:rPr>
        <w:sectPr>
          <w:pgSz w:w="11906" w:h="16838"/>
          <w:pgMar w:top="1134" w:right="1134" w:bottom="1134" w:left="1838" w:header="851" w:footer="992" w:gutter="0"/>
          <w:cols w:space="720" w:num="1"/>
          <w:titlePg/>
          <w:docGrid w:linePitch="462" w:charSpace="0"/>
        </w:sectPr>
      </w:pPr>
      <w:r>
        <w:rPr>
          <w:rFonts w:hint="eastAsia"/>
          <w:szCs w:val="21"/>
        </w:rPr>
        <w:t>日期：      年    月    日</w:t>
      </w:r>
    </w:p>
    <w:p>
      <w:pPr>
        <w:numPr>
          <w:ilvl w:val="0"/>
          <w:numId w:val="34"/>
        </w:numPr>
        <w:adjustRightInd/>
        <w:snapToGrid/>
        <w:spacing w:before="280" w:after="290" w:line="377" w:lineRule="auto"/>
        <w:outlineLvl w:val="2"/>
        <w:rPr>
          <w:b/>
          <w:sz w:val="24"/>
        </w:rPr>
      </w:pPr>
      <w:r>
        <w:rPr>
          <w:rFonts w:hint="eastAsia"/>
          <w:b/>
          <w:sz w:val="24"/>
        </w:rPr>
        <w:t>技术规格偏离表</w:t>
      </w:r>
    </w:p>
    <w:p>
      <w:pPr>
        <w:widowControl w:val="0"/>
        <w:shd w:val="clear" w:color="auto" w:fill="auto"/>
        <w:tabs>
          <w:tab w:val="clear" w:pos="426"/>
        </w:tabs>
        <w:adjustRightInd/>
        <w:snapToGrid/>
        <w:spacing w:line="300" w:lineRule="auto"/>
        <w:jc w:val="center"/>
        <w:rPr>
          <w:rFonts w:cs="Times New Roman"/>
          <w:bCs/>
          <w:kern w:val="2"/>
          <w:sz w:val="32"/>
          <w:szCs w:val="32"/>
        </w:rPr>
      </w:pPr>
      <w:bookmarkStart w:id="71" w:name="_Toc480789484"/>
      <w:bookmarkStart w:id="72" w:name="_Toc480754213"/>
      <w:bookmarkStart w:id="73" w:name="_Toc480755934"/>
      <w:bookmarkStart w:id="74" w:name="_Toc480756080"/>
      <w:r>
        <w:rPr>
          <w:rFonts w:hint="eastAsia" w:cs="Times New Roman"/>
          <w:bCs/>
          <w:kern w:val="2"/>
          <w:sz w:val="32"/>
          <w:szCs w:val="32"/>
        </w:rPr>
        <w:t>技术规格偏离表</w:t>
      </w:r>
      <w:bookmarkEnd w:id="71"/>
      <w:bookmarkEnd w:id="72"/>
      <w:bookmarkEnd w:id="73"/>
      <w:bookmarkEnd w:id="74"/>
    </w:p>
    <w:p>
      <w:pPr>
        <w:tabs>
          <w:tab w:val="clear" w:pos="426"/>
        </w:tabs>
        <w:rPr>
          <w:rFonts w:cs="Arial"/>
          <w:bCs/>
          <w:szCs w:val="21"/>
        </w:rPr>
      </w:pPr>
    </w:p>
    <w:p>
      <w:pPr>
        <w:tabs>
          <w:tab w:val="clear" w:pos="426"/>
        </w:tabs>
        <w:rPr>
          <w:rFonts w:cs="Arial"/>
          <w:bCs/>
          <w:szCs w:val="21"/>
          <w:u w:val="single"/>
        </w:rPr>
      </w:pPr>
      <w:r>
        <w:rPr>
          <w:rFonts w:hint="eastAsia" w:cs="Arial"/>
          <w:bCs/>
          <w:szCs w:val="21"/>
        </w:rPr>
        <w:t>项目名称：</w:t>
      </w:r>
      <w:r>
        <w:rPr>
          <w:rFonts w:hint="eastAsia" w:cs="Arial"/>
          <w:bCs/>
          <w:szCs w:val="21"/>
          <w:u w:val="single"/>
        </w:rPr>
        <w:t xml:space="preserve">                                </w:t>
      </w:r>
      <w:r>
        <w:rPr>
          <w:rFonts w:hint="eastAsia" w:cs="Arial"/>
          <w:bCs/>
          <w:szCs w:val="21"/>
        </w:rPr>
        <w:t xml:space="preserve">  项目编号：</w:t>
      </w:r>
      <w:r>
        <w:rPr>
          <w:rFonts w:hint="eastAsia" w:cs="Arial"/>
          <w:bCs/>
          <w:szCs w:val="21"/>
          <w:u w:val="single"/>
        </w:rPr>
        <w:t xml:space="preserve">               </w:t>
      </w:r>
      <w:r>
        <w:rPr>
          <w:rFonts w:hint="eastAsia" w:cs="Arial"/>
          <w:bCs/>
          <w:szCs w:val="21"/>
        </w:rPr>
        <w:t>包号：</w:t>
      </w:r>
      <w:r>
        <w:rPr>
          <w:rFonts w:hint="eastAsia" w:cs="Arial"/>
          <w:bCs/>
          <w:szCs w:val="21"/>
          <w:u w:val="single"/>
        </w:rPr>
        <w:t xml:space="preserve">            </w:t>
      </w:r>
    </w:p>
    <w:tbl>
      <w:tblPr>
        <w:tblStyle w:val="44"/>
        <w:tblW w:w="943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718"/>
        <w:gridCol w:w="2852"/>
        <w:gridCol w:w="1612"/>
        <w:gridCol w:w="1852"/>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b/>
                <w:bCs/>
                <w:color w:val="000000"/>
                <w:szCs w:val="21"/>
              </w:rPr>
              <w:t>序号</w:t>
            </w:r>
          </w:p>
        </w:tc>
        <w:tc>
          <w:tcPr>
            <w:tcW w:w="718" w:type="dxa"/>
            <w:shd w:val="clear" w:color="auto" w:fill="auto"/>
            <w:vAlign w:val="center"/>
          </w:tcPr>
          <w:p>
            <w:pPr>
              <w:jc w:val="center"/>
              <w:rPr>
                <w:rFonts w:asciiTheme="minorEastAsia" w:hAnsiTheme="minorEastAsia"/>
                <w:color w:val="000000"/>
                <w:szCs w:val="21"/>
              </w:rPr>
            </w:pPr>
            <w:r>
              <w:rPr>
                <w:rFonts w:hint="eastAsia" w:asciiTheme="minorEastAsia" w:hAnsiTheme="minorEastAsia"/>
                <w:b/>
                <w:bCs/>
                <w:color w:val="000000"/>
                <w:szCs w:val="21"/>
              </w:rPr>
              <w:t>设备名称</w:t>
            </w:r>
          </w:p>
        </w:tc>
        <w:tc>
          <w:tcPr>
            <w:tcW w:w="2852" w:type="dxa"/>
            <w:shd w:val="clear" w:color="auto" w:fill="auto"/>
            <w:vAlign w:val="center"/>
          </w:tcPr>
          <w:p>
            <w:pPr>
              <w:jc w:val="center"/>
              <w:rPr>
                <w:rFonts w:asciiTheme="minorEastAsia" w:hAnsiTheme="minorEastAsia"/>
                <w:color w:val="000000"/>
                <w:szCs w:val="21"/>
              </w:rPr>
            </w:pPr>
            <w:r>
              <w:rPr>
                <w:rFonts w:hint="eastAsia" w:asciiTheme="minorEastAsia" w:hAnsiTheme="minorEastAsia"/>
                <w:b/>
                <w:bCs/>
                <w:color w:val="000000"/>
                <w:szCs w:val="21"/>
              </w:rPr>
              <w:t>技术规格</w:t>
            </w:r>
          </w:p>
        </w:tc>
        <w:tc>
          <w:tcPr>
            <w:tcW w:w="1612" w:type="dxa"/>
            <w:shd w:val="clear" w:color="auto" w:fill="auto"/>
            <w:noWrap/>
            <w:vAlign w:val="center"/>
          </w:tcPr>
          <w:p>
            <w:pPr>
              <w:tabs>
                <w:tab w:val="clear" w:pos="426"/>
              </w:tabs>
              <w:adjustRightInd/>
              <w:snapToGrid/>
              <w:spacing w:line="240" w:lineRule="auto"/>
              <w:jc w:val="center"/>
              <w:rPr>
                <w:rFonts w:asciiTheme="minorEastAsia" w:hAnsiTheme="minorEastAsia"/>
                <w:color w:val="000000"/>
                <w:szCs w:val="21"/>
              </w:rPr>
            </w:pPr>
            <w:r>
              <w:rPr>
                <w:rFonts w:hint="eastAsia" w:cs="Arial"/>
                <w:bCs/>
                <w:szCs w:val="21"/>
              </w:rPr>
              <w:t>投标技术响应</w:t>
            </w:r>
          </w:p>
        </w:tc>
        <w:tc>
          <w:tcPr>
            <w:tcW w:w="1852" w:type="dxa"/>
            <w:shd w:val="clear" w:color="auto" w:fill="auto"/>
            <w:noWrap/>
            <w:vAlign w:val="center"/>
          </w:tcPr>
          <w:p>
            <w:pPr>
              <w:tabs>
                <w:tab w:val="clear" w:pos="426"/>
              </w:tabs>
              <w:adjustRightInd/>
              <w:snapToGrid/>
              <w:spacing w:line="240" w:lineRule="auto"/>
              <w:jc w:val="center"/>
              <w:rPr>
                <w:rFonts w:asciiTheme="minorEastAsia" w:hAnsiTheme="minorEastAsia"/>
                <w:color w:val="000000"/>
                <w:szCs w:val="21"/>
              </w:rPr>
            </w:pPr>
            <w:r>
              <w:rPr>
                <w:rFonts w:hint="eastAsia" w:cs="Arial"/>
                <w:bCs/>
                <w:szCs w:val="21"/>
              </w:rPr>
              <w:t>偏离情况</w:t>
            </w:r>
          </w:p>
        </w:tc>
        <w:tc>
          <w:tcPr>
            <w:tcW w:w="1852" w:type="dxa"/>
            <w:shd w:val="clear" w:color="auto" w:fill="auto"/>
            <w:noWrap/>
            <w:vAlign w:val="center"/>
          </w:tcPr>
          <w:p>
            <w:pPr>
              <w:tabs>
                <w:tab w:val="clear" w:pos="426"/>
              </w:tabs>
              <w:adjustRightInd/>
              <w:snapToGrid/>
              <w:spacing w:line="240" w:lineRule="auto"/>
              <w:jc w:val="center"/>
              <w:rPr>
                <w:rFonts w:cs="Arial"/>
                <w:bCs/>
                <w:szCs w:val="21"/>
              </w:rPr>
            </w:pPr>
            <w:r>
              <w:rPr>
                <w:rFonts w:hint="eastAsia" w:cs="Arial"/>
                <w:bC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3" w:hRule="atLeast"/>
        </w:trPr>
        <w:tc>
          <w:tcPr>
            <w:tcW w:w="550" w:type="dxa"/>
            <w:vMerge w:val="restart"/>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w:t>
            </w:r>
          </w:p>
        </w:tc>
        <w:tc>
          <w:tcPr>
            <w:tcW w:w="718" w:type="dxa"/>
            <w:vMerge w:val="restart"/>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交互式液晶一体机</w:t>
            </w: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一、交互平板硬件部分：</w:t>
            </w:r>
          </w:p>
          <w:p>
            <w:pPr>
              <w:jc w:val="left"/>
              <w:rPr>
                <w:rFonts w:asciiTheme="minorEastAsia" w:hAnsiTheme="minorEastAsia"/>
                <w:color w:val="000000"/>
                <w:szCs w:val="21"/>
              </w:rPr>
            </w:pPr>
            <w:r>
              <w:rPr>
                <w:rFonts w:hint="eastAsia" w:asciiTheme="minorEastAsia" w:hAnsiTheme="minorEastAsia"/>
                <w:color w:val="000000"/>
                <w:szCs w:val="21"/>
              </w:rPr>
              <w:t>1、尺寸:86英寸,采用LED背光。</w:t>
            </w:r>
          </w:p>
          <w:p>
            <w:pPr>
              <w:jc w:val="left"/>
              <w:rPr>
                <w:rFonts w:asciiTheme="minorEastAsia" w:hAnsiTheme="minorEastAsia"/>
                <w:color w:val="000000"/>
                <w:szCs w:val="21"/>
              </w:rPr>
            </w:pPr>
            <w:r>
              <w:rPr>
                <w:rFonts w:hint="eastAsia" w:asciiTheme="minorEastAsia" w:hAnsiTheme="minorEastAsia"/>
                <w:color w:val="000000"/>
                <w:szCs w:val="21"/>
              </w:rPr>
              <w:t xml:space="preserve">2、屏幕物理分辨率:≥3840*2160； </w:t>
            </w:r>
          </w:p>
          <w:p>
            <w:pPr>
              <w:jc w:val="left"/>
              <w:rPr>
                <w:rFonts w:asciiTheme="minorEastAsia" w:hAnsiTheme="minorEastAsia"/>
                <w:color w:val="000000"/>
                <w:szCs w:val="21"/>
              </w:rPr>
            </w:pPr>
            <w:r>
              <w:rPr>
                <w:rFonts w:hint="eastAsia" w:asciiTheme="minorEastAsia" w:hAnsiTheme="minorEastAsia"/>
                <w:color w:val="000000"/>
                <w:szCs w:val="21"/>
              </w:rPr>
              <w:t>3、满足全屏显示比例16:9;</w:t>
            </w:r>
          </w:p>
          <w:p>
            <w:pPr>
              <w:jc w:val="left"/>
              <w:rPr>
                <w:rFonts w:asciiTheme="minorEastAsia" w:hAnsiTheme="minorEastAsia"/>
                <w:color w:val="000000"/>
                <w:szCs w:val="21"/>
              </w:rPr>
            </w:pPr>
            <w:r>
              <w:rPr>
                <w:rFonts w:hint="eastAsia" w:asciiTheme="minorEastAsia" w:hAnsiTheme="minorEastAsia"/>
                <w:color w:val="000000"/>
                <w:szCs w:val="21"/>
              </w:rPr>
              <w:t>4、支持10点同时触控，支持10笔书写,触摸分辨率:≥32767*32767;▲触摸高度≤2.5mm；最小识别直径≤3mm；</w:t>
            </w:r>
          </w:p>
          <w:p>
            <w:pPr>
              <w:jc w:val="left"/>
              <w:rPr>
                <w:rFonts w:asciiTheme="minorEastAsia" w:hAnsiTheme="minorEastAsia"/>
                <w:color w:val="000000"/>
                <w:szCs w:val="21"/>
              </w:rPr>
            </w:pPr>
            <w:r>
              <w:rPr>
                <w:rFonts w:hint="eastAsia" w:asciiTheme="minorEastAsia" w:hAnsiTheme="minorEastAsia"/>
                <w:color w:val="000000"/>
                <w:szCs w:val="21"/>
              </w:rPr>
              <w:t>▲5、交互平板前置接口具有磁性盖板防护，防撞防尘；</w:t>
            </w:r>
          </w:p>
          <w:p>
            <w:pPr>
              <w:jc w:val="left"/>
              <w:rPr>
                <w:rFonts w:asciiTheme="minorEastAsia" w:hAnsiTheme="minorEastAsia"/>
                <w:color w:val="000000"/>
                <w:szCs w:val="21"/>
              </w:rPr>
            </w:pPr>
            <w:r>
              <w:rPr>
                <w:rFonts w:hint="eastAsia" w:asciiTheme="minorEastAsia" w:hAnsiTheme="minorEastAsia"/>
                <w:color w:val="000000"/>
                <w:szCs w:val="21"/>
              </w:rPr>
              <w:t>6.接口不少于3个双通道接口（Android2.0和PC3.0）、HDMI*1（非转接），有中文标识；（需提供相关检测报告）；</w:t>
            </w:r>
          </w:p>
          <w:p>
            <w:pPr>
              <w:jc w:val="left"/>
              <w:rPr>
                <w:rFonts w:asciiTheme="minorEastAsia" w:hAnsiTheme="minorEastAsia"/>
                <w:color w:val="000000"/>
                <w:szCs w:val="21"/>
              </w:rPr>
            </w:pPr>
            <w:r>
              <w:rPr>
                <w:rFonts w:hint="eastAsia" w:asciiTheme="minorEastAsia" w:hAnsiTheme="minorEastAsia"/>
                <w:color w:val="000000"/>
                <w:szCs w:val="21"/>
              </w:rPr>
              <w:t>▲6、交互平板左右两侧具有与教学应用密切相关的物理快捷键，该快捷键至少具有触控开关键、关闭窗口键，一键打开展台键，并且双侧快捷键具有中文标识。（不接受软件快捷键或不干胶贴纸形式）（需提供相关检测报告）</w:t>
            </w:r>
          </w:p>
          <w:p>
            <w:pPr>
              <w:jc w:val="left"/>
              <w:rPr>
                <w:rFonts w:asciiTheme="minorEastAsia" w:hAnsiTheme="minorEastAsia"/>
                <w:color w:val="000000"/>
                <w:szCs w:val="21"/>
              </w:rPr>
            </w:pPr>
            <w:r>
              <w:rPr>
                <w:rFonts w:hint="eastAsia" w:asciiTheme="minorEastAsia" w:hAnsiTheme="minorEastAsia"/>
                <w:color w:val="000000"/>
                <w:szCs w:val="21"/>
              </w:rPr>
              <w:t>7、为方便教学，避免误操作，交互平板前置按键，具备丝印中文标识。</w:t>
            </w:r>
          </w:p>
          <w:p>
            <w:pPr>
              <w:jc w:val="left"/>
              <w:rPr>
                <w:rFonts w:asciiTheme="minorEastAsia" w:hAnsiTheme="minorEastAsia"/>
                <w:color w:val="000000"/>
                <w:szCs w:val="21"/>
              </w:rPr>
            </w:pPr>
            <w:r>
              <w:rPr>
                <w:rFonts w:hint="eastAsia" w:asciiTheme="minorEastAsia" w:hAnsiTheme="minorEastAsia"/>
                <w:color w:val="000000"/>
                <w:szCs w:val="21"/>
              </w:rPr>
              <w:t xml:space="preserve">▲8、交互平板具备前置一键还原按键，带中文丝印标识，（需提供相关检测报告） </w:t>
            </w:r>
          </w:p>
          <w:p>
            <w:pPr>
              <w:jc w:val="left"/>
              <w:rPr>
                <w:rFonts w:asciiTheme="minorEastAsia" w:hAnsiTheme="minorEastAsia"/>
                <w:color w:val="000000"/>
                <w:szCs w:val="21"/>
              </w:rPr>
            </w:pPr>
            <w:r>
              <w:rPr>
                <w:rFonts w:hint="eastAsia" w:asciiTheme="minorEastAsia" w:hAnsiTheme="minorEastAsia"/>
                <w:color w:val="000000"/>
                <w:szCs w:val="21"/>
              </w:rPr>
              <w:t>9、为方便教学，交互平板正面具备2个15W音箱。</w:t>
            </w:r>
          </w:p>
          <w:p>
            <w:pPr>
              <w:jc w:val="left"/>
              <w:rPr>
                <w:rFonts w:asciiTheme="minorEastAsia" w:hAnsiTheme="minorEastAsia"/>
                <w:color w:val="000000"/>
                <w:szCs w:val="21"/>
              </w:rPr>
            </w:pPr>
            <w:r>
              <w:rPr>
                <w:rFonts w:hint="eastAsia" w:asciiTheme="minorEastAsia" w:hAnsiTheme="minorEastAsia"/>
                <w:color w:val="000000"/>
                <w:szCs w:val="21"/>
              </w:rPr>
              <w:t>10、交互平板采用插拔式模块电脑架构，接口严格遵循Intel®的OPS-C相关规范,针脚数≤80Pin,与插拔式电脑无单独接线。</w:t>
            </w:r>
          </w:p>
          <w:p>
            <w:pPr>
              <w:jc w:val="left"/>
              <w:rPr>
                <w:rFonts w:asciiTheme="minorEastAsia" w:hAnsiTheme="minorEastAsia"/>
                <w:color w:val="000000"/>
                <w:szCs w:val="21"/>
              </w:rPr>
            </w:pPr>
            <w:r>
              <w:rPr>
                <w:rFonts w:hint="eastAsia" w:asciiTheme="minorEastAsia" w:hAnsiTheme="minorEastAsia"/>
                <w:color w:val="000000"/>
                <w:szCs w:val="21"/>
              </w:rPr>
              <w:t>▲11、交互平板下方具备置物设计，方便老师放置粉笔及书写笔等；</w:t>
            </w:r>
          </w:p>
          <w:p>
            <w:pPr>
              <w:jc w:val="left"/>
              <w:rPr>
                <w:rFonts w:asciiTheme="minorEastAsia" w:hAnsiTheme="minorEastAsia"/>
                <w:color w:val="000000"/>
                <w:szCs w:val="21"/>
              </w:rPr>
            </w:pPr>
            <w:r>
              <w:rPr>
                <w:rFonts w:hint="eastAsia" w:asciiTheme="minorEastAsia" w:hAnsiTheme="minorEastAsia"/>
                <w:color w:val="000000"/>
                <w:szCs w:val="21"/>
              </w:rPr>
              <w:t>▲12、交互平板Android主板具备ROM不小于8G，RAM不小于1G，版本不低于6.0。</w:t>
            </w:r>
          </w:p>
          <w:p>
            <w:pPr>
              <w:jc w:val="left"/>
              <w:rPr>
                <w:rFonts w:asciiTheme="minorEastAsia" w:hAnsiTheme="minorEastAsia"/>
                <w:color w:val="000000"/>
                <w:szCs w:val="21"/>
              </w:rPr>
            </w:pPr>
            <w:r>
              <w:rPr>
                <w:rFonts w:hint="eastAsia" w:asciiTheme="minorEastAsia" w:hAnsiTheme="minorEastAsia"/>
                <w:color w:val="000000"/>
                <w:szCs w:val="21"/>
              </w:rPr>
              <w:t>▲13、为提高安全性，交互平板具备供电保护模块，插拔式电脑未被固定不会通电；</w:t>
            </w:r>
          </w:p>
          <w:p>
            <w:pPr>
              <w:jc w:val="left"/>
              <w:rPr>
                <w:rFonts w:asciiTheme="minorEastAsia" w:hAnsiTheme="minorEastAsia"/>
                <w:color w:val="000000"/>
                <w:szCs w:val="21"/>
              </w:rPr>
            </w:pPr>
            <w:r>
              <w:rPr>
                <w:rFonts w:hint="eastAsia" w:asciiTheme="minorEastAsia" w:hAnsiTheme="minorEastAsia"/>
                <w:color w:val="000000"/>
                <w:szCs w:val="21"/>
              </w:rPr>
              <w:t>14、为提高便利性，交互平板只需一根网线，即可满足windows和Android双系统的上网需求。</w:t>
            </w:r>
          </w:p>
          <w:p>
            <w:pPr>
              <w:jc w:val="left"/>
              <w:rPr>
                <w:rFonts w:asciiTheme="minorEastAsia" w:hAnsiTheme="minorEastAsia"/>
                <w:color w:val="000000"/>
                <w:szCs w:val="21"/>
              </w:rPr>
            </w:pPr>
            <w:r>
              <w:rPr>
                <w:rFonts w:hint="eastAsia" w:asciiTheme="minorEastAsia" w:hAnsiTheme="minorEastAsia"/>
                <w:color w:val="000000"/>
                <w:szCs w:val="21"/>
              </w:rPr>
              <w:t>15、支持USBKey解锁，在整机锁定的状态下，插入U盘后可解锁；</w:t>
            </w:r>
          </w:p>
          <w:p>
            <w:pPr>
              <w:jc w:val="left"/>
              <w:rPr>
                <w:rFonts w:asciiTheme="minorEastAsia" w:hAnsiTheme="minorEastAsia"/>
                <w:color w:val="000000"/>
                <w:szCs w:val="21"/>
              </w:rPr>
            </w:pPr>
            <w:r>
              <w:rPr>
                <w:rFonts w:hint="eastAsia" w:asciiTheme="minorEastAsia" w:hAnsiTheme="minorEastAsia"/>
                <w:color w:val="000000"/>
                <w:szCs w:val="21"/>
              </w:rPr>
              <w:t>16、为防止误触，设备可通过遥控器、前置按键或虚拟按键，对整机进行锁定，并可通过遥控器、前置按键或U盘进行解锁；</w:t>
            </w:r>
          </w:p>
          <w:p>
            <w:pPr>
              <w:jc w:val="left"/>
              <w:rPr>
                <w:rFonts w:asciiTheme="minorEastAsia" w:hAnsiTheme="minorEastAsia"/>
                <w:color w:val="000000"/>
                <w:szCs w:val="21"/>
              </w:rPr>
            </w:pPr>
            <w:r>
              <w:rPr>
                <w:rFonts w:hint="eastAsia" w:asciiTheme="minorEastAsia" w:hAnsiTheme="minorEastAsia"/>
                <w:color w:val="000000"/>
                <w:szCs w:val="21"/>
              </w:rPr>
              <w:t>17、为方便教学，交互平板自动识别新接入的信号源，并自动切换到该信号源；当断开后，自动切回之前信号源；</w:t>
            </w:r>
          </w:p>
        </w:tc>
        <w:tc>
          <w:tcPr>
            <w:tcW w:w="1612" w:type="dxa"/>
            <w:vMerge w:val="restart"/>
            <w:shd w:val="clear" w:color="auto" w:fill="auto"/>
            <w:noWrap/>
            <w:vAlign w:val="center"/>
          </w:tcPr>
          <w:p>
            <w:pPr>
              <w:jc w:val="center"/>
              <w:rPr>
                <w:rFonts w:asciiTheme="minorEastAsia" w:hAnsiTheme="minorEastAsia"/>
                <w:color w:val="000000"/>
                <w:szCs w:val="21"/>
              </w:rPr>
            </w:pPr>
          </w:p>
        </w:tc>
        <w:tc>
          <w:tcPr>
            <w:tcW w:w="1852" w:type="dxa"/>
            <w:vMerge w:val="restart"/>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3" w:hRule="atLeast"/>
        </w:trPr>
        <w:tc>
          <w:tcPr>
            <w:tcW w:w="550" w:type="dxa"/>
            <w:vMerge w:val="continue"/>
            <w:shd w:val="clear" w:color="auto" w:fill="auto"/>
            <w:noWrap/>
            <w:vAlign w:val="center"/>
          </w:tcPr>
          <w:p>
            <w:pPr>
              <w:jc w:val="left"/>
            </w:pPr>
          </w:p>
        </w:tc>
        <w:tc>
          <w:tcPr>
            <w:tcW w:w="718" w:type="dxa"/>
            <w:vMerge w:val="continue"/>
            <w:shd w:val="clear" w:color="auto" w:fill="auto"/>
            <w:vAlign w:val="center"/>
          </w:tcPr>
          <w:p>
            <w:pPr>
              <w:jc w:val="left"/>
            </w:pP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二、安卓应用：</w:t>
            </w:r>
          </w:p>
          <w:p>
            <w:pPr>
              <w:jc w:val="left"/>
              <w:rPr>
                <w:rFonts w:asciiTheme="minorEastAsia" w:hAnsiTheme="minorEastAsia"/>
                <w:color w:val="000000"/>
                <w:szCs w:val="21"/>
              </w:rPr>
            </w:pPr>
            <w:r>
              <w:rPr>
                <w:rFonts w:hint="eastAsia" w:asciiTheme="minorEastAsia" w:hAnsiTheme="minorEastAsia"/>
                <w:color w:val="000000"/>
                <w:szCs w:val="21"/>
              </w:rPr>
              <w:t>1、▲为了教师操作便捷，交互平板可通过多指长按屏幕，达到息屏和唤醒功能，不接受触摸菜单或物理按键方式；</w:t>
            </w:r>
          </w:p>
          <w:p>
            <w:pPr>
              <w:jc w:val="left"/>
              <w:rPr>
                <w:rFonts w:asciiTheme="minorEastAsia" w:hAnsiTheme="minorEastAsia"/>
                <w:color w:val="000000"/>
                <w:szCs w:val="21"/>
              </w:rPr>
            </w:pPr>
            <w:r>
              <w:rPr>
                <w:rFonts w:hint="eastAsia" w:asciiTheme="minorEastAsia" w:hAnsiTheme="minorEastAsia"/>
                <w:color w:val="000000"/>
                <w:szCs w:val="21"/>
              </w:rPr>
              <w:t>2、具备文件浏览功能，可实现文件分类，选定、全选、复制、粘贴、删除、一键发送、二维码分享等功能。</w:t>
            </w:r>
          </w:p>
          <w:p>
            <w:pPr>
              <w:jc w:val="left"/>
              <w:rPr>
                <w:rFonts w:asciiTheme="minorEastAsia" w:hAnsiTheme="minorEastAsia"/>
                <w:color w:val="000000"/>
                <w:szCs w:val="21"/>
              </w:rPr>
            </w:pPr>
            <w:r>
              <w:rPr>
                <w:rFonts w:hint="eastAsia" w:asciiTheme="minorEastAsia" w:hAnsiTheme="minorEastAsia"/>
                <w:color w:val="000000"/>
                <w:szCs w:val="21"/>
              </w:rPr>
              <w:t>3、交互平板具备智能护眼组合功能，可直接提供护眼模式、实现智能光控、以及书写时屏显自动变暗。</w:t>
            </w:r>
          </w:p>
          <w:p>
            <w:pPr>
              <w:jc w:val="left"/>
              <w:rPr>
                <w:rFonts w:asciiTheme="minorEastAsia" w:hAnsiTheme="minorEastAsia"/>
                <w:color w:val="000000"/>
                <w:szCs w:val="21"/>
              </w:rPr>
            </w:pPr>
            <w:r>
              <w:rPr>
                <w:rFonts w:hint="eastAsia" w:asciiTheme="minorEastAsia" w:hAnsiTheme="minorEastAsia"/>
                <w:color w:val="000000"/>
                <w:szCs w:val="21"/>
              </w:rPr>
              <w:t>4、在Windows和Android的白板软件下，悬浮菜单中的书写工具（批注、橡皮）可与底部白板软件的工具条联动；</w:t>
            </w:r>
          </w:p>
          <w:p>
            <w:pPr>
              <w:jc w:val="left"/>
              <w:rPr>
                <w:rFonts w:asciiTheme="minorEastAsia" w:hAnsiTheme="minorEastAsia"/>
                <w:color w:val="000000"/>
                <w:szCs w:val="21"/>
              </w:rPr>
            </w:pPr>
            <w:r>
              <w:rPr>
                <w:rFonts w:hint="eastAsia" w:asciiTheme="minorEastAsia" w:hAnsiTheme="minorEastAsia"/>
                <w:color w:val="000000"/>
                <w:szCs w:val="21"/>
              </w:rPr>
              <w:t>5、▲为了教师方便应用，交互平板前置提供综合设置物理按键，可在任意通道下一键呼出系统设置、系统检测、智能温控、信号源预览等功能进行快速设置；</w:t>
            </w:r>
          </w:p>
          <w:p>
            <w:pPr>
              <w:jc w:val="left"/>
              <w:rPr>
                <w:rFonts w:asciiTheme="minorEastAsia" w:hAnsiTheme="minorEastAsia"/>
                <w:color w:val="000000"/>
                <w:szCs w:val="21"/>
              </w:rPr>
            </w:pPr>
            <w:r>
              <w:rPr>
                <w:rFonts w:hint="eastAsia" w:asciiTheme="minorEastAsia" w:hAnsiTheme="minorEastAsia"/>
                <w:color w:val="000000"/>
                <w:szCs w:val="21"/>
              </w:rPr>
              <w:t>6、为方便教学，Android白板软件具备二维码分享功能；</w:t>
            </w:r>
          </w:p>
          <w:p>
            <w:pPr>
              <w:jc w:val="left"/>
              <w:rPr>
                <w:rFonts w:asciiTheme="minorEastAsia" w:hAnsiTheme="minorEastAsia"/>
                <w:color w:val="000000"/>
                <w:szCs w:val="21"/>
              </w:rPr>
            </w:pPr>
            <w:r>
              <w:rPr>
                <w:rFonts w:hint="eastAsia" w:asciiTheme="minorEastAsia" w:hAnsiTheme="minorEastAsia"/>
                <w:color w:val="000000"/>
                <w:szCs w:val="21"/>
              </w:rPr>
              <w:t>7、为方便老师操作，交互平板的通道的名称可以修改；</w:t>
            </w:r>
          </w:p>
          <w:p>
            <w:pPr>
              <w:jc w:val="left"/>
              <w:rPr>
                <w:rFonts w:asciiTheme="minorEastAsia" w:hAnsiTheme="minorEastAsia"/>
                <w:color w:val="000000"/>
                <w:szCs w:val="21"/>
              </w:rPr>
            </w:pPr>
            <w:r>
              <w:rPr>
                <w:rFonts w:hint="eastAsia" w:asciiTheme="minorEastAsia" w:hAnsiTheme="minorEastAsia"/>
                <w:color w:val="000000"/>
                <w:szCs w:val="21"/>
              </w:rPr>
              <w:t>8、▲为方便教学，悬浮菜单中的信号源可自定义修改，并固化到菜单中，一键直达常用信号源；</w:t>
            </w:r>
          </w:p>
          <w:p>
            <w:pPr>
              <w:jc w:val="left"/>
              <w:rPr>
                <w:rFonts w:asciiTheme="minorEastAsia" w:hAnsiTheme="minorEastAsia"/>
                <w:color w:val="000000"/>
                <w:szCs w:val="21"/>
              </w:rPr>
            </w:pPr>
            <w:r>
              <w:rPr>
                <w:rFonts w:hint="eastAsia" w:asciiTheme="minorEastAsia" w:hAnsiTheme="minorEastAsia"/>
                <w:color w:val="000000"/>
                <w:szCs w:val="21"/>
              </w:rPr>
              <w:t>9、▲通过交互平板桌面的悬浮菜单切换信号源通道，并可通过两指调用此悬浮菜单到任意位置；</w:t>
            </w:r>
          </w:p>
          <w:p>
            <w:pPr>
              <w:jc w:val="left"/>
              <w:rPr>
                <w:rFonts w:asciiTheme="minorEastAsia" w:hAnsiTheme="minorEastAsia"/>
                <w:color w:val="000000"/>
                <w:szCs w:val="21"/>
              </w:rPr>
            </w:pPr>
            <w:r>
              <w:rPr>
                <w:rFonts w:hint="eastAsia" w:asciiTheme="minorEastAsia" w:hAnsiTheme="minorEastAsia"/>
                <w:color w:val="000000"/>
                <w:szCs w:val="21"/>
              </w:rPr>
              <w:t>10、Android部分提供硬件系统检测(支持无PC状况下使用):对系统内存、存储、红外框、内嵌电脑、屏温监控等提供直观的状态、故障提示;</w:t>
            </w:r>
          </w:p>
          <w:p>
            <w:pPr>
              <w:jc w:val="left"/>
              <w:rPr>
                <w:rFonts w:asciiTheme="minorEastAsia" w:hAnsiTheme="minorEastAsia"/>
                <w:color w:val="000000"/>
                <w:szCs w:val="21"/>
              </w:rPr>
            </w:pPr>
            <w:r>
              <w:rPr>
                <w:rFonts w:hint="eastAsia" w:asciiTheme="minorEastAsia" w:hAnsiTheme="minorEastAsia"/>
                <w:color w:val="000000"/>
                <w:szCs w:val="21"/>
              </w:rPr>
              <w:t>11、▲交互平板具备任意通道下无需点击物理按键，可随时调用计算器、日历等小工具，并支持拖拽及关闭。</w:t>
            </w:r>
          </w:p>
          <w:p>
            <w:pPr>
              <w:jc w:val="left"/>
              <w:rPr>
                <w:rFonts w:asciiTheme="minorEastAsia" w:hAnsiTheme="minorEastAsia"/>
                <w:color w:val="000000"/>
                <w:szCs w:val="21"/>
              </w:rPr>
            </w:pPr>
            <w:r>
              <w:rPr>
                <w:rFonts w:hint="eastAsia" w:asciiTheme="minorEastAsia" w:hAnsiTheme="minorEastAsia"/>
                <w:color w:val="000000"/>
                <w:szCs w:val="21"/>
              </w:rPr>
              <w:t>12、▲为方便教学，交互平板提供不少于三种方式启动展台软件。</w:t>
            </w:r>
          </w:p>
          <w:p>
            <w:pPr>
              <w:jc w:val="left"/>
              <w:rPr>
                <w:rFonts w:asciiTheme="minorEastAsia" w:hAnsiTheme="minorEastAsia"/>
                <w:color w:val="000000"/>
                <w:szCs w:val="21"/>
              </w:rPr>
            </w:pPr>
            <w:r>
              <w:rPr>
                <w:rFonts w:hint="eastAsia" w:asciiTheme="minorEastAsia" w:hAnsiTheme="minorEastAsia"/>
                <w:color w:val="000000"/>
                <w:szCs w:val="21"/>
              </w:rPr>
              <w:t>13、▲为方便教学，交互平板不少于三种方式启动白板软件。</w:t>
            </w:r>
          </w:p>
        </w:tc>
        <w:tc>
          <w:tcPr>
            <w:tcW w:w="1612" w:type="dxa"/>
            <w:vMerge w:val="continue"/>
            <w:shd w:val="clear" w:color="auto" w:fill="auto"/>
            <w:noWrap/>
            <w:vAlign w:val="center"/>
          </w:tcPr>
          <w:p>
            <w:pPr>
              <w:jc w:val="left"/>
              <w:rPr>
                <w:rFonts w:asciiTheme="minorEastAsia" w:hAnsiTheme="minorEastAsia"/>
                <w:color w:val="000000"/>
                <w:szCs w:val="21"/>
              </w:rPr>
            </w:pPr>
          </w:p>
        </w:tc>
        <w:tc>
          <w:tcPr>
            <w:tcW w:w="1852" w:type="dxa"/>
            <w:vMerge w:val="continue"/>
            <w:shd w:val="clear" w:color="auto" w:fill="auto"/>
            <w:noWrap/>
            <w:vAlign w:val="center"/>
          </w:tcPr>
          <w:p>
            <w:pPr>
              <w:jc w:val="left"/>
              <w:rPr>
                <w:rFonts w:asciiTheme="minorEastAsia" w:hAnsiTheme="minorEastAsia"/>
                <w:color w:val="000000"/>
                <w:szCs w:val="21"/>
              </w:rPr>
            </w:pPr>
          </w:p>
        </w:tc>
        <w:tc>
          <w:tcPr>
            <w:tcW w:w="1852" w:type="dxa"/>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3" w:hRule="atLeast"/>
        </w:trPr>
        <w:tc>
          <w:tcPr>
            <w:tcW w:w="550" w:type="dxa"/>
            <w:vMerge w:val="continue"/>
            <w:shd w:val="clear" w:color="auto" w:fill="auto"/>
            <w:noWrap/>
            <w:vAlign w:val="center"/>
          </w:tcPr>
          <w:p>
            <w:pPr>
              <w:jc w:val="left"/>
              <w:rPr>
                <w:rFonts w:asciiTheme="minorEastAsia" w:hAnsiTheme="minorEastAsia"/>
                <w:color w:val="000000"/>
                <w:szCs w:val="21"/>
              </w:rPr>
            </w:pPr>
          </w:p>
        </w:tc>
        <w:tc>
          <w:tcPr>
            <w:tcW w:w="718" w:type="dxa"/>
            <w:vMerge w:val="continue"/>
            <w:shd w:val="clear" w:color="auto" w:fill="auto"/>
            <w:vAlign w:val="center"/>
          </w:tcPr>
          <w:p>
            <w:pPr>
              <w:jc w:val="left"/>
              <w:rPr>
                <w:rFonts w:asciiTheme="minorEastAsia" w:hAnsiTheme="minorEastAsia"/>
                <w:color w:val="000000"/>
                <w:szCs w:val="21"/>
              </w:rPr>
            </w:pPr>
          </w:p>
        </w:tc>
        <w:tc>
          <w:tcPr>
            <w:tcW w:w="2852" w:type="dxa"/>
            <w:shd w:val="clear" w:color="auto" w:fill="auto"/>
          </w:tcPr>
          <w:p>
            <w:pPr>
              <w:jc w:val="left"/>
              <w:rPr>
                <w:color w:val="000000"/>
                <w:szCs w:val="21"/>
              </w:rPr>
            </w:pPr>
            <w:r>
              <w:rPr>
                <w:rFonts w:hint="eastAsia"/>
                <w:color w:val="000000"/>
                <w:szCs w:val="21"/>
              </w:rPr>
              <w:t>三、电脑模块和操作系统</w:t>
            </w:r>
          </w:p>
          <w:p>
            <w:pPr>
              <w:jc w:val="left"/>
              <w:rPr>
                <w:color w:val="000000"/>
                <w:szCs w:val="21"/>
              </w:rPr>
            </w:pPr>
            <w:r>
              <w:rPr>
                <w:rFonts w:hint="eastAsia"/>
                <w:color w:val="000000"/>
                <w:szCs w:val="21"/>
              </w:rPr>
              <w:t>1、▲整机架构:采用插拔式模块电脑架构，接口严格遵循Intel®相关规范,针脚数不少于80Pin,与大屏无单独接线.</w:t>
            </w:r>
          </w:p>
          <w:p>
            <w:pPr>
              <w:jc w:val="left"/>
              <w:rPr>
                <w:color w:val="000000"/>
                <w:szCs w:val="21"/>
              </w:rPr>
            </w:pPr>
            <w:r>
              <w:rPr>
                <w:rFonts w:hint="eastAsia"/>
                <w:color w:val="000000"/>
                <w:szCs w:val="21"/>
              </w:rPr>
              <w:t>2、主板规格:采用H110芯片组，支持无盘启动、网络唤醒、上电开机、看门狗等功能；</w:t>
            </w:r>
          </w:p>
          <w:p>
            <w:pPr>
              <w:jc w:val="left"/>
              <w:rPr>
                <w:color w:val="000000"/>
                <w:szCs w:val="21"/>
              </w:rPr>
            </w:pPr>
            <w:r>
              <w:rPr>
                <w:rFonts w:hint="eastAsia"/>
                <w:color w:val="000000"/>
                <w:szCs w:val="21"/>
              </w:rPr>
              <w:t>3、采用Intel第7代酷睿 Skylake平台I5处理器（CPU 7500及以上）、主频3.2GHz或以上配置;8G内存或以上;256G SSD或以上配置,并具有防震功能;</w:t>
            </w:r>
          </w:p>
          <w:p>
            <w:pPr>
              <w:jc w:val="left"/>
              <w:rPr>
                <w:color w:val="000000"/>
                <w:szCs w:val="21"/>
              </w:rPr>
            </w:pPr>
            <w:r>
              <w:rPr>
                <w:rFonts w:hint="eastAsia"/>
                <w:color w:val="000000"/>
                <w:szCs w:val="21"/>
              </w:rPr>
              <w:t>4、拓展接口:具备独立非外扩展6个USB（至少包含3路USB3.0）接口、HDMI*1、RS232*1,DP*1,满足教学拓展需求;</w:t>
            </w:r>
          </w:p>
          <w:p>
            <w:pPr>
              <w:jc w:val="left"/>
              <w:rPr>
                <w:color w:val="000000"/>
                <w:szCs w:val="21"/>
              </w:rPr>
            </w:pPr>
            <w:r>
              <w:rPr>
                <w:rFonts w:hint="eastAsia"/>
                <w:color w:val="000000"/>
                <w:szCs w:val="21"/>
              </w:rPr>
              <w:t>5、系统还原:提供软件、硬件一键系统还原方案;</w:t>
            </w:r>
          </w:p>
          <w:p>
            <w:pPr>
              <w:jc w:val="left"/>
              <w:rPr>
                <w:color w:val="000000"/>
                <w:szCs w:val="21"/>
              </w:rPr>
            </w:pPr>
            <w:r>
              <w:rPr>
                <w:rFonts w:hint="eastAsia"/>
                <w:color w:val="000000"/>
                <w:szCs w:val="21"/>
              </w:rPr>
              <w:t>6、▲设备兼容与认证:插拔式电脑模块与整机必须为同一厂家生产并通过3C认证，提供单独电脑模块3C认证。</w:t>
            </w:r>
          </w:p>
          <w:p>
            <w:pPr>
              <w:jc w:val="left"/>
              <w:rPr>
                <w:rFonts w:asciiTheme="minorEastAsia" w:hAnsiTheme="minorEastAsia"/>
                <w:color w:val="000000"/>
                <w:szCs w:val="21"/>
              </w:rPr>
            </w:pPr>
            <w:r>
              <w:rPr>
                <w:rFonts w:hint="eastAsia"/>
                <w:color w:val="000000"/>
                <w:szCs w:val="21"/>
              </w:rPr>
              <w:t>7、系统版本:正版Windows 10 Professional专业版(64Bit）;</w:t>
            </w:r>
          </w:p>
        </w:tc>
        <w:tc>
          <w:tcPr>
            <w:tcW w:w="1612" w:type="dxa"/>
            <w:vMerge w:val="continue"/>
            <w:shd w:val="clear" w:color="auto" w:fill="auto"/>
            <w:noWrap/>
            <w:vAlign w:val="center"/>
          </w:tcPr>
          <w:p>
            <w:pPr>
              <w:jc w:val="left"/>
              <w:rPr>
                <w:rFonts w:asciiTheme="minorEastAsia" w:hAnsiTheme="minorEastAsia"/>
                <w:color w:val="000000"/>
                <w:szCs w:val="21"/>
              </w:rPr>
            </w:pPr>
          </w:p>
        </w:tc>
        <w:tc>
          <w:tcPr>
            <w:tcW w:w="1852" w:type="dxa"/>
            <w:vMerge w:val="continue"/>
            <w:shd w:val="clear" w:color="auto" w:fill="auto"/>
            <w:noWrap/>
            <w:vAlign w:val="center"/>
          </w:tcPr>
          <w:p>
            <w:pPr>
              <w:jc w:val="left"/>
              <w:rPr>
                <w:rFonts w:asciiTheme="minorEastAsia" w:hAnsiTheme="minorEastAsia"/>
                <w:color w:val="000000"/>
                <w:szCs w:val="21"/>
              </w:rPr>
            </w:pPr>
          </w:p>
        </w:tc>
        <w:tc>
          <w:tcPr>
            <w:tcW w:w="1852" w:type="dxa"/>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3" w:hRule="atLeast"/>
        </w:trPr>
        <w:tc>
          <w:tcPr>
            <w:tcW w:w="550" w:type="dxa"/>
            <w:vMerge w:val="continue"/>
            <w:shd w:val="clear" w:color="auto" w:fill="auto"/>
            <w:noWrap/>
            <w:vAlign w:val="center"/>
          </w:tcPr>
          <w:p>
            <w:pPr>
              <w:jc w:val="left"/>
            </w:pPr>
          </w:p>
        </w:tc>
        <w:tc>
          <w:tcPr>
            <w:tcW w:w="718" w:type="dxa"/>
            <w:vMerge w:val="continue"/>
            <w:shd w:val="clear" w:color="auto" w:fill="auto"/>
            <w:vAlign w:val="center"/>
          </w:tcPr>
          <w:p>
            <w:pPr>
              <w:jc w:val="left"/>
            </w:pP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四、全学科备授课系统：</w:t>
            </w:r>
          </w:p>
          <w:p>
            <w:pPr>
              <w:jc w:val="left"/>
              <w:rPr>
                <w:rFonts w:asciiTheme="minorEastAsia" w:hAnsiTheme="minorEastAsia"/>
                <w:color w:val="000000"/>
                <w:szCs w:val="21"/>
              </w:rPr>
            </w:pPr>
            <w:r>
              <w:rPr>
                <w:rFonts w:hint="eastAsia" w:asciiTheme="minorEastAsia" w:hAnsiTheme="minorEastAsia"/>
                <w:color w:val="000000"/>
                <w:szCs w:val="21"/>
              </w:rPr>
              <w:t xml:space="preserve"> 1、教学设计</w:t>
            </w:r>
          </w:p>
          <w:p>
            <w:pPr>
              <w:jc w:val="left"/>
              <w:rPr>
                <w:rFonts w:asciiTheme="minorEastAsia" w:hAnsiTheme="minorEastAsia"/>
                <w:color w:val="000000"/>
                <w:szCs w:val="21"/>
              </w:rPr>
            </w:pPr>
            <w:r>
              <w:rPr>
                <w:rFonts w:hint="eastAsia" w:asciiTheme="minorEastAsia" w:hAnsiTheme="minorEastAsia"/>
                <w:color w:val="000000"/>
                <w:szCs w:val="21"/>
              </w:rPr>
              <w:t>▲（1）、软件提供教学设计功能，支持教师根据教学需要自主添加课堂活动。课堂活动中涵盖情景导入、内容精讲、同步习题、随堂测试、分组竞赛、分组探究等至少6个环节，支持调整各个环节顺序或增删环节；</w:t>
            </w:r>
          </w:p>
          <w:p>
            <w:pPr>
              <w:jc w:val="left"/>
              <w:rPr>
                <w:rFonts w:asciiTheme="minorEastAsia" w:hAnsiTheme="minorEastAsia"/>
                <w:color w:val="000000"/>
                <w:szCs w:val="21"/>
              </w:rPr>
            </w:pPr>
            <w:r>
              <w:rPr>
                <w:rFonts w:hint="eastAsia" w:asciiTheme="minorEastAsia" w:hAnsiTheme="minorEastAsia"/>
                <w:color w:val="000000"/>
                <w:szCs w:val="21"/>
              </w:rPr>
              <w:t>▲（2）、云平台针对不同教学环节自动推送与课程精准匹配的资源；</w:t>
            </w:r>
          </w:p>
          <w:p>
            <w:pPr>
              <w:jc w:val="left"/>
              <w:rPr>
                <w:rFonts w:asciiTheme="minorEastAsia" w:hAnsiTheme="minorEastAsia"/>
                <w:color w:val="000000"/>
                <w:szCs w:val="21"/>
              </w:rPr>
            </w:pPr>
            <w:r>
              <w:rPr>
                <w:rFonts w:hint="eastAsia" w:asciiTheme="minorEastAsia" w:hAnsiTheme="minorEastAsia"/>
                <w:color w:val="000000"/>
                <w:szCs w:val="21"/>
              </w:rPr>
              <w:t>（3）、支持添加：mp4、txt、ppt、pptx、doc、jpg 、gif、等多种格式的本地素材。</w:t>
            </w:r>
          </w:p>
          <w:p>
            <w:pPr>
              <w:jc w:val="left"/>
              <w:rPr>
                <w:rFonts w:asciiTheme="minorEastAsia" w:hAnsiTheme="minorEastAsia"/>
                <w:color w:val="000000"/>
                <w:szCs w:val="21"/>
              </w:rPr>
            </w:pPr>
            <w:r>
              <w:rPr>
                <w:rFonts w:hint="eastAsia" w:asciiTheme="minorEastAsia" w:hAnsiTheme="minorEastAsia"/>
                <w:color w:val="000000"/>
                <w:szCs w:val="21"/>
              </w:rPr>
              <w:t>▲（4）、教案可实时同步至云端，方便教师随时随地查看教案及再次修改</w:t>
            </w:r>
          </w:p>
          <w:p>
            <w:pPr>
              <w:jc w:val="left"/>
              <w:rPr>
                <w:rFonts w:asciiTheme="minorEastAsia" w:hAnsiTheme="minorEastAsia"/>
                <w:color w:val="000000"/>
                <w:szCs w:val="21"/>
              </w:rPr>
            </w:pPr>
            <w:r>
              <w:rPr>
                <w:rFonts w:hint="eastAsia" w:asciiTheme="minorEastAsia" w:hAnsiTheme="minorEastAsia"/>
                <w:color w:val="000000"/>
                <w:szCs w:val="21"/>
              </w:rPr>
              <w:t xml:space="preserve">    2、白板软件</w:t>
            </w:r>
          </w:p>
          <w:p>
            <w:pPr>
              <w:jc w:val="left"/>
              <w:rPr>
                <w:rFonts w:asciiTheme="minorEastAsia" w:hAnsiTheme="minorEastAsia"/>
                <w:color w:val="000000"/>
                <w:szCs w:val="21"/>
              </w:rPr>
            </w:pPr>
            <w:r>
              <w:rPr>
                <w:rFonts w:hint="eastAsia" w:asciiTheme="minorEastAsia" w:hAnsiTheme="minorEastAsia"/>
                <w:color w:val="000000"/>
                <w:szCs w:val="21"/>
              </w:rPr>
              <w:t>▲（1）、支持免登录直接使用本地教学工具；老师的每个个人账号提供不少于50G云端存储空间，无需用户通过完成特定任务才能获取，方便老师存储资料；</w:t>
            </w:r>
          </w:p>
          <w:p>
            <w:pPr>
              <w:jc w:val="left"/>
              <w:rPr>
                <w:rFonts w:asciiTheme="minorEastAsia" w:hAnsiTheme="minorEastAsia"/>
                <w:color w:val="000000"/>
                <w:szCs w:val="21"/>
              </w:rPr>
            </w:pPr>
            <w:r>
              <w:rPr>
                <w:rFonts w:hint="eastAsia" w:asciiTheme="minorEastAsia" w:hAnsiTheme="minorEastAsia"/>
                <w:color w:val="000000"/>
                <w:szCs w:val="21"/>
              </w:rPr>
              <w:t>▲（2）、软硬件菜单功能按钮/图标配备明确中文标识，交互平板双侧快捷键具备一个自定义功能，可自定义常用软件功能如：荧光笔、幕布、时钟、截图、量角器、圆规等；</w:t>
            </w:r>
          </w:p>
          <w:p>
            <w:pPr>
              <w:jc w:val="left"/>
              <w:rPr>
                <w:rFonts w:asciiTheme="minorEastAsia" w:hAnsiTheme="minorEastAsia"/>
                <w:color w:val="000000"/>
                <w:szCs w:val="21"/>
              </w:rPr>
            </w:pPr>
            <w:r>
              <w:rPr>
                <w:rFonts w:hint="eastAsia" w:asciiTheme="minorEastAsia" w:hAnsiTheme="minorEastAsia"/>
                <w:color w:val="000000"/>
                <w:szCs w:val="21"/>
              </w:rPr>
              <w:t>（3）、易用的文本编辑功能，支持文本输入并可快速设置字体、大小、颜色、粗体、斜体、下划线、删除线、上标、下标、项目符号等复杂文本的输入，可对文本的对齐、行间距、透明度、等进行设置，方便用户编辑文字。</w:t>
            </w:r>
          </w:p>
          <w:p>
            <w:pPr>
              <w:jc w:val="left"/>
              <w:rPr>
                <w:rFonts w:asciiTheme="minorEastAsia" w:hAnsiTheme="minorEastAsia"/>
                <w:color w:val="000000"/>
                <w:szCs w:val="21"/>
              </w:rPr>
            </w:pPr>
            <w:r>
              <w:rPr>
                <w:rFonts w:hint="eastAsia" w:asciiTheme="minorEastAsia" w:hAnsiTheme="minorEastAsia"/>
                <w:color w:val="000000"/>
                <w:szCs w:val="21"/>
              </w:rPr>
              <w:t>（4）、软件具备智能辅助线，移动单个素材时，可以智能提示水平、垂直对齐位置，方便课件排版；</w:t>
            </w:r>
          </w:p>
          <w:p>
            <w:pPr>
              <w:jc w:val="left"/>
              <w:rPr>
                <w:rFonts w:asciiTheme="minorEastAsia" w:hAnsiTheme="minorEastAsia"/>
                <w:color w:val="000000"/>
                <w:szCs w:val="21"/>
              </w:rPr>
            </w:pPr>
            <w:r>
              <w:rPr>
                <w:rFonts w:hint="eastAsia" w:asciiTheme="minorEastAsia" w:hAnsiTheme="minorEastAsia"/>
                <w:color w:val="000000"/>
                <w:szCs w:val="21"/>
              </w:rPr>
              <w:t>▲（5）、提供音、视频图片编辑功能。音、视频文件导入到软件中进行播放，可设置循环播放、跨页面播放。视频文件可一键全屏播放，支持动态截图，截取图片自动生成图片索引栏，图片索引栏可跨页面显示。</w:t>
            </w:r>
          </w:p>
          <w:p>
            <w:pPr>
              <w:jc w:val="left"/>
              <w:rPr>
                <w:rFonts w:asciiTheme="minorEastAsia" w:hAnsiTheme="minorEastAsia"/>
                <w:color w:val="000000"/>
                <w:szCs w:val="21"/>
              </w:rPr>
            </w:pPr>
            <w:r>
              <w:rPr>
                <w:rFonts w:hint="eastAsia" w:asciiTheme="minorEastAsia" w:hAnsiTheme="minorEastAsia"/>
                <w:color w:val="000000"/>
                <w:szCs w:val="21"/>
              </w:rPr>
              <w:t>▲（6）、学科工具：至少提供12门以上学科工具，包含语文、数学、英语、物理、化学、生物、地理、历史、音乐、体育、书法等。针对以上学科，学科工具里不是简单的静态图片，包括交互式操作的动画，动画支持一键全屏显示。</w:t>
            </w:r>
          </w:p>
          <w:p>
            <w:pPr>
              <w:jc w:val="left"/>
              <w:rPr>
                <w:rFonts w:asciiTheme="minorEastAsia" w:hAnsiTheme="minorEastAsia"/>
                <w:color w:val="000000"/>
                <w:szCs w:val="21"/>
              </w:rPr>
            </w:pPr>
            <w:r>
              <w:rPr>
                <w:rFonts w:hint="eastAsia" w:asciiTheme="minorEastAsia" w:hAnsiTheme="minorEastAsia"/>
                <w:color w:val="000000"/>
                <w:szCs w:val="21"/>
              </w:rPr>
              <w:t>▲（7）、语文学科工具需提供成语词典功能，通过搜索关键字的方式即可查找成语，并可显示该成语的意思、出处、组词、拼音等，为方便向学生展示，学科工具支持一键全屏播放。需提供拼音教学工具，可实现声母韵母的读音（包含一声、二声、三声、四声）、拼音的笔画顺序演示等。</w:t>
            </w:r>
          </w:p>
          <w:p>
            <w:pPr>
              <w:jc w:val="left"/>
              <w:rPr>
                <w:rFonts w:asciiTheme="minorEastAsia" w:hAnsiTheme="minorEastAsia"/>
                <w:color w:val="000000"/>
                <w:szCs w:val="21"/>
              </w:rPr>
            </w:pPr>
            <w:r>
              <w:rPr>
                <w:rFonts w:hint="eastAsia" w:asciiTheme="minorEastAsia" w:hAnsiTheme="minorEastAsia"/>
                <w:color w:val="000000"/>
                <w:szCs w:val="21"/>
              </w:rPr>
              <w:t>▲（8）、生物学科工具需提供显微镜功能，模拟实物显微镜，可以进行装片展示，物镜目镜调整及旋转聚焦等操作。为方便向学生展示，学科工具支持一键全屏播放。</w:t>
            </w:r>
          </w:p>
          <w:p>
            <w:pPr>
              <w:jc w:val="left"/>
              <w:rPr>
                <w:rFonts w:asciiTheme="minorEastAsia" w:hAnsiTheme="minorEastAsia"/>
                <w:color w:val="000000"/>
                <w:szCs w:val="21"/>
              </w:rPr>
            </w:pPr>
            <w:r>
              <w:rPr>
                <w:rFonts w:hint="eastAsia" w:asciiTheme="minorEastAsia" w:hAnsiTheme="minorEastAsia"/>
                <w:color w:val="000000"/>
                <w:szCs w:val="21"/>
              </w:rPr>
              <w:t>▲（9）历史学科工具需提供朝代更替动画演示，包含每个朝代的世系表、疆域图、朝代简介等；丝绸之路工具，可实现丝绸之路的线路动画演示。战国经济工具，可展现战国冶铁中心、水浇地、煮盐中心、商业中心等。</w:t>
            </w:r>
          </w:p>
          <w:p>
            <w:pPr>
              <w:jc w:val="left"/>
              <w:rPr>
                <w:rFonts w:asciiTheme="minorEastAsia" w:hAnsiTheme="minorEastAsia"/>
                <w:color w:val="000000"/>
                <w:szCs w:val="21"/>
              </w:rPr>
            </w:pPr>
            <w:r>
              <w:rPr>
                <w:rFonts w:hint="eastAsia" w:asciiTheme="minorEastAsia" w:hAnsiTheme="minorEastAsia"/>
                <w:color w:val="000000"/>
                <w:szCs w:val="21"/>
              </w:rPr>
              <w:t>▲（10）、物理学科工具需提供力学、电学、电磁学、光学、电学图例等多种类型的实验素材，如弹簧、小车、游标卡尺、木棒、刻度尺、凹槽、安培表、伏特表、开关、滑动变阻器等。</w:t>
            </w:r>
          </w:p>
          <w:p>
            <w:pPr>
              <w:jc w:val="left"/>
              <w:rPr>
                <w:rFonts w:asciiTheme="minorEastAsia" w:hAnsiTheme="minorEastAsia"/>
                <w:color w:val="000000"/>
                <w:szCs w:val="21"/>
              </w:rPr>
            </w:pPr>
            <w:r>
              <w:rPr>
                <w:rFonts w:hint="eastAsia" w:asciiTheme="minorEastAsia" w:hAnsiTheme="minorEastAsia"/>
                <w:color w:val="000000"/>
                <w:szCs w:val="21"/>
              </w:rPr>
              <w:t>▲（11）、音乐学科工具需至少提供电子琴、架子鼓、吉他等多种教具。为方便学生操作，学科工具支持一键全屏播放。</w:t>
            </w:r>
          </w:p>
          <w:p>
            <w:pPr>
              <w:jc w:val="left"/>
              <w:rPr>
                <w:rFonts w:asciiTheme="minorEastAsia" w:hAnsiTheme="minorEastAsia"/>
                <w:color w:val="000000"/>
                <w:szCs w:val="21"/>
              </w:rPr>
            </w:pPr>
            <w:r>
              <w:rPr>
                <w:rFonts w:hint="eastAsia" w:asciiTheme="minorEastAsia" w:hAnsiTheme="minorEastAsia"/>
                <w:color w:val="000000"/>
                <w:szCs w:val="21"/>
              </w:rPr>
              <w:t>▲（12）、地理学科工具需提供地球仪功能，模拟实物地球仪可以进行旋转，也可调整地球仪显示类型，如全球气候、国家、地形等；提供太阳系图示，可显示不同视角、黄白交角、地球晨昏线、可选择仅显示地月图示；为方便向学生展示，支持一键全屏播放。</w:t>
            </w:r>
          </w:p>
          <w:p>
            <w:pPr>
              <w:jc w:val="left"/>
              <w:rPr>
                <w:rFonts w:asciiTheme="minorEastAsia" w:hAnsiTheme="minorEastAsia"/>
                <w:color w:val="000000"/>
                <w:szCs w:val="21"/>
              </w:rPr>
            </w:pPr>
            <w:r>
              <w:rPr>
                <w:rFonts w:hint="eastAsia" w:asciiTheme="minorEastAsia" w:hAnsiTheme="minorEastAsia"/>
                <w:color w:val="000000"/>
                <w:szCs w:val="21"/>
              </w:rPr>
              <w:t>▲（13）、化学学科工具需提供化学器械、化学器皿等多种实验素材，如烧杯、酒精灯、铁架台、玻璃棒、砝码、U型管；提供化学元素周期表工具。</w:t>
            </w:r>
          </w:p>
          <w:p>
            <w:pPr>
              <w:jc w:val="left"/>
              <w:rPr>
                <w:rFonts w:asciiTheme="minorEastAsia" w:hAnsiTheme="minorEastAsia"/>
                <w:color w:val="000000"/>
                <w:szCs w:val="21"/>
              </w:rPr>
            </w:pPr>
            <w:r>
              <w:rPr>
                <w:rFonts w:hint="eastAsia" w:asciiTheme="minorEastAsia" w:hAnsiTheme="minorEastAsia"/>
                <w:color w:val="000000"/>
                <w:szCs w:val="21"/>
              </w:rPr>
              <w:t>▲（14）、仿真实验:具备总数不少于450个,涵盖K-12年级科学、初高中物理、化学、生物等学科的本地仿真实验资源，仿真实验包括实验目的、实验原理、实验器材、注意事项、实验演示、开始实验、实验检测、实验应用等环节，为方便向学生展示及操作，仿真实验支持一键全屏播放。（需提供仿真实验软件著作权证书，仿真实验软件著作权和平板生产厂家为同一公司，以保证软件稳定性及后期软件升级）。</w:t>
            </w:r>
          </w:p>
          <w:p>
            <w:pPr>
              <w:jc w:val="left"/>
              <w:rPr>
                <w:rFonts w:asciiTheme="minorEastAsia" w:hAnsiTheme="minorEastAsia"/>
                <w:color w:val="000000"/>
                <w:szCs w:val="21"/>
              </w:rPr>
            </w:pPr>
            <w:r>
              <w:rPr>
                <w:rFonts w:hint="eastAsia" w:asciiTheme="minorEastAsia" w:hAnsiTheme="minorEastAsia"/>
                <w:color w:val="000000"/>
                <w:szCs w:val="21"/>
              </w:rPr>
              <w:t>（15）一键进行备、授课场景切换。</w:t>
            </w:r>
          </w:p>
          <w:p>
            <w:pPr>
              <w:jc w:val="left"/>
              <w:rPr>
                <w:rFonts w:asciiTheme="minorEastAsia" w:hAnsiTheme="minorEastAsia"/>
                <w:color w:val="000000"/>
                <w:szCs w:val="21"/>
              </w:rPr>
            </w:pPr>
            <w:r>
              <w:rPr>
                <w:rFonts w:hint="eastAsia"/>
                <w:sz w:val="22"/>
              </w:rPr>
              <w:t>▲</w:t>
            </w:r>
            <w:r>
              <w:rPr>
                <w:rFonts w:hint="eastAsia" w:asciiTheme="minorEastAsia" w:hAnsiTheme="minorEastAsia"/>
                <w:color w:val="000000"/>
                <w:szCs w:val="21"/>
              </w:rPr>
              <w:t>（16）书写工具:至少提供硬笔、智能笔、荧光笔、激光笔、软笔、纹理笔、图章笔、手势笔等不少于9种书写工具。通过智能笔可以识别平面二维图形；纹理笔可以实现刮奖效果，擦涂即可呈现图案，增加教学趣味性；利用图章笔可以对学生进行评价，如点赞、小红花、笑脸、奖章等多种效果；老师可通过手势笔实现多种手势教学，如圈选即可识别为选中对象，画圆即可识别为聚光灯，画方形为放大镜功能，左右划线为前后翻页等，为方便老师快速掌握，在点击手势笔功能时，笔工具栏提供图例操作说明。</w:t>
            </w:r>
          </w:p>
          <w:p>
            <w:pPr>
              <w:jc w:val="left"/>
              <w:rPr>
                <w:rFonts w:asciiTheme="minorEastAsia" w:hAnsiTheme="minorEastAsia"/>
                <w:color w:val="000000"/>
                <w:szCs w:val="21"/>
              </w:rPr>
            </w:pPr>
            <w:r>
              <w:rPr>
                <w:rFonts w:hint="eastAsia" w:asciiTheme="minorEastAsia" w:hAnsiTheme="minorEastAsia"/>
                <w:color w:val="000000"/>
                <w:szCs w:val="21"/>
              </w:rPr>
              <w:t>（17）自动识别粗细笔：不借助菜单切换，根据接触面积，自动识别粗细笔笔迹，方便教师板书及批注重点；</w:t>
            </w:r>
          </w:p>
          <w:p>
            <w:pPr>
              <w:jc w:val="left"/>
              <w:rPr>
                <w:rFonts w:asciiTheme="minorEastAsia" w:hAnsiTheme="minorEastAsia"/>
                <w:color w:val="000000"/>
                <w:szCs w:val="21"/>
              </w:rPr>
            </w:pPr>
            <w:r>
              <w:rPr>
                <w:rFonts w:hint="eastAsia" w:asciiTheme="minorEastAsia" w:hAnsiTheme="minorEastAsia"/>
                <w:color w:val="000000"/>
                <w:szCs w:val="21"/>
              </w:rPr>
              <w:t>（18）工具箱：提供不少于12个老师教学的辅助工具，例如数学作图工具(直尺、圆规、三角板等)、聚光灯、放大镜、屏幕截图、展台、草稿纸等；</w:t>
            </w:r>
          </w:p>
          <w:p>
            <w:pPr>
              <w:jc w:val="left"/>
              <w:rPr>
                <w:rFonts w:asciiTheme="minorEastAsia" w:hAnsiTheme="minorEastAsia"/>
                <w:color w:val="000000"/>
                <w:szCs w:val="21"/>
              </w:rPr>
            </w:pPr>
            <w:r>
              <w:rPr>
                <w:rFonts w:hint="eastAsia" w:asciiTheme="minorEastAsia" w:hAnsiTheme="minorEastAsia"/>
                <w:color w:val="000000"/>
                <w:szCs w:val="21"/>
              </w:rPr>
              <w:t>（19）PPT课件批注功能：PPT全屏播放时可自动开启工具菜单，提供PPT课件的播放控制(如前后翻页)、聚光灯、放大镜、草稿纸和书写批注等功能,支持生成二维码，快速分享课件。</w:t>
            </w:r>
          </w:p>
          <w:p>
            <w:pPr>
              <w:jc w:val="left"/>
              <w:rPr>
                <w:rFonts w:asciiTheme="minorEastAsia" w:hAnsiTheme="minorEastAsia"/>
                <w:color w:val="000000"/>
                <w:szCs w:val="21"/>
              </w:rPr>
            </w:pPr>
            <w:r>
              <w:rPr>
                <w:rFonts w:hint="eastAsia" w:asciiTheme="minorEastAsia" w:hAnsiTheme="minorEastAsia"/>
                <w:color w:val="000000"/>
                <w:szCs w:val="21"/>
              </w:rPr>
              <w:t>（20）多屏互动功能：支持手机、pad移动端与交互平板连接后，可实现常用功能如影像上传、投屏、播放课件、直播。支持对上传的图片内容再次编辑如裁剪、马赛克等操作，可同时上传多张照片进行同屏对比，双向批注；手机与交互平板电脑画面双向互传，可实现手机实时控制、随时批注交互平板电脑桌面；支持播放电脑桌面的ppt课件；还可实现手机移动直播功能； u盘文件直读、一键切换电脑窗口文件、模拟鼠标等功能；，方便教师及时分享各类资源。</w:t>
            </w:r>
          </w:p>
          <w:p>
            <w:pPr>
              <w:jc w:val="left"/>
              <w:rPr>
                <w:rFonts w:asciiTheme="minorEastAsia" w:hAnsiTheme="minorEastAsia"/>
                <w:color w:val="000000"/>
                <w:szCs w:val="21"/>
              </w:rPr>
            </w:pPr>
            <w:r>
              <w:rPr>
                <w:rFonts w:hint="eastAsia" w:asciiTheme="minorEastAsia" w:hAnsiTheme="minorEastAsia"/>
                <w:color w:val="000000"/>
                <w:szCs w:val="21"/>
              </w:rPr>
              <w:t>（21）为方便老师应用，提供与所投产品相关的微信公众号学习交流及售后平台，老师可通过关注厂家微信公众号在线自主学习产品使用，也可通过公众号在线提问及产品的报修；</w:t>
            </w:r>
          </w:p>
          <w:p>
            <w:pPr>
              <w:jc w:val="left"/>
              <w:rPr>
                <w:rFonts w:asciiTheme="minorEastAsia" w:hAnsiTheme="minorEastAsia"/>
                <w:color w:val="000000"/>
                <w:szCs w:val="21"/>
              </w:rPr>
            </w:pPr>
            <w:r>
              <w:rPr>
                <w:rFonts w:hint="eastAsia" w:asciiTheme="minorEastAsia" w:hAnsiTheme="minorEastAsia"/>
                <w:color w:val="000000"/>
                <w:szCs w:val="21"/>
              </w:rPr>
              <w:t>3、资源平台</w:t>
            </w:r>
          </w:p>
          <w:p>
            <w:pPr>
              <w:jc w:val="left"/>
              <w:rPr>
                <w:rFonts w:asciiTheme="minorEastAsia" w:hAnsiTheme="minorEastAsia"/>
                <w:color w:val="000000"/>
                <w:szCs w:val="21"/>
              </w:rPr>
            </w:pPr>
            <w:r>
              <w:rPr>
                <w:rFonts w:hint="eastAsia" w:asciiTheme="minorEastAsia" w:hAnsiTheme="minorEastAsia"/>
                <w:color w:val="000000"/>
                <w:szCs w:val="21"/>
              </w:rPr>
              <w:t>（1）资料库</w:t>
            </w:r>
          </w:p>
          <w:p>
            <w:pPr>
              <w:jc w:val="left"/>
              <w:rPr>
                <w:rFonts w:asciiTheme="minorEastAsia" w:hAnsiTheme="minorEastAsia"/>
                <w:color w:val="000000"/>
                <w:szCs w:val="21"/>
              </w:rPr>
            </w:pPr>
            <w:r>
              <w:rPr>
                <w:rFonts w:hint="eastAsia" w:asciiTheme="minorEastAsia" w:hAnsiTheme="minorEastAsia"/>
                <w:color w:val="000000"/>
                <w:szCs w:val="21"/>
              </w:rPr>
              <w:t>网络学科资源:具备丰富的学科资源，包括人教、北师大、苏教等30多个主流教材版本;支持按年级、版本、学科、章节等分类方式进行查找；支持资源下载及一键插入白板页面使用。</w:t>
            </w:r>
          </w:p>
          <w:p>
            <w:pPr>
              <w:jc w:val="left"/>
              <w:rPr>
                <w:rFonts w:asciiTheme="minorEastAsia" w:hAnsiTheme="minorEastAsia"/>
                <w:color w:val="000000"/>
                <w:szCs w:val="21"/>
              </w:rPr>
            </w:pPr>
            <w:r>
              <w:rPr>
                <w:rFonts w:hint="eastAsia" w:asciiTheme="minorEastAsia" w:hAnsiTheme="minorEastAsia"/>
                <w:color w:val="000000"/>
                <w:szCs w:val="21"/>
              </w:rPr>
              <w:t>a.小学资源库</w:t>
            </w:r>
          </w:p>
          <w:p>
            <w:pPr>
              <w:jc w:val="left"/>
              <w:rPr>
                <w:rFonts w:asciiTheme="minorEastAsia" w:hAnsiTheme="minorEastAsia"/>
                <w:color w:val="000000"/>
                <w:szCs w:val="21"/>
              </w:rPr>
            </w:pPr>
            <w:r>
              <w:rPr>
                <w:rFonts w:hint="eastAsia" w:asciiTheme="minorEastAsia" w:hAnsiTheme="minorEastAsia"/>
                <w:color w:val="000000"/>
                <w:szCs w:val="21"/>
              </w:rPr>
              <w:t>小学资源库每个学科均包括：教学目标、教学建议、教案示例、扩展资料、习题精选、动画类、课件类、视频类、音频类、图片类等栏目。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资源覆盖小学语文、数学、英语、品德与生活/社会、科学、音乐、美术、信息技术等学科。</w:t>
            </w:r>
          </w:p>
          <w:p>
            <w:pPr>
              <w:jc w:val="left"/>
              <w:rPr>
                <w:rFonts w:asciiTheme="minorEastAsia" w:hAnsiTheme="minorEastAsia"/>
                <w:color w:val="000000"/>
                <w:szCs w:val="21"/>
              </w:rPr>
            </w:pPr>
            <w:r>
              <w:rPr>
                <w:rFonts w:hint="eastAsia" w:asciiTheme="minorEastAsia" w:hAnsiTheme="minorEastAsia"/>
                <w:color w:val="000000"/>
                <w:szCs w:val="21"/>
              </w:rPr>
              <w:t>b.初中资源库</w:t>
            </w:r>
          </w:p>
          <w:p>
            <w:pPr>
              <w:jc w:val="left"/>
              <w:rPr>
                <w:rFonts w:asciiTheme="minorEastAsia" w:hAnsiTheme="minorEastAsia"/>
                <w:color w:val="000000"/>
                <w:szCs w:val="21"/>
              </w:rPr>
            </w:pPr>
            <w:r>
              <w:rPr>
                <w:rFonts w:hint="eastAsia" w:asciiTheme="minorEastAsia" w:hAnsiTheme="minorEastAsia"/>
                <w:color w:val="000000"/>
                <w:szCs w:val="21"/>
              </w:rPr>
              <w:t>初中资源库每个学科均包括：教学目标、教学建议、教案示例、扩展资料、习题精选、动画类、课件类、视频类、音频类、图片类等栏目。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资源覆盖初中语文、数学、英语、物理、化学、生物、历史、地理、思想品德、科学、音乐、美术、信息技术等学科。</w:t>
            </w:r>
          </w:p>
          <w:p>
            <w:pPr>
              <w:jc w:val="left"/>
              <w:rPr>
                <w:rFonts w:asciiTheme="minorEastAsia" w:hAnsiTheme="minorEastAsia"/>
                <w:color w:val="000000"/>
                <w:szCs w:val="21"/>
              </w:rPr>
            </w:pPr>
            <w:r>
              <w:rPr>
                <w:rFonts w:hint="eastAsia" w:asciiTheme="minorEastAsia" w:hAnsiTheme="minorEastAsia"/>
                <w:color w:val="000000"/>
                <w:szCs w:val="21"/>
              </w:rPr>
              <w:t>c.高中资源库</w:t>
            </w:r>
          </w:p>
          <w:p>
            <w:pPr>
              <w:jc w:val="left"/>
              <w:rPr>
                <w:rFonts w:asciiTheme="minorEastAsia" w:hAnsiTheme="minorEastAsia"/>
                <w:color w:val="000000"/>
                <w:szCs w:val="21"/>
              </w:rPr>
            </w:pPr>
            <w:r>
              <w:rPr>
                <w:rFonts w:hint="eastAsia" w:asciiTheme="minorEastAsia" w:hAnsiTheme="minorEastAsia"/>
                <w:color w:val="000000"/>
                <w:szCs w:val="21"/>
              </w:rPr>
              <w:t>高中资源库每个学科均包括：教学目标、教学建议、教案示例、扩展资料、习题精选、动画类、课件类、视频类、音频类、图片类等栏目。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资源覆盖高中语文、数学、英语、物理、化学、生物、历史、地理、思想政治、音乐、美术、信息技术等学科。</w:t>
            </w:r>
          </w:p>
          <w:p>
            <w:pPr>
              <w:jc w:val="left"/>
              <w:rPr>
                <w:rFonts w:asciiTheme="minorEastAsia" w:hAnsiTheme="minorEastAsia"/>
                <w:color w:val="000000"/>
                <w:szCs w:val="21"/>
              </w:rPr>
            </w:pPr>
            <w:r>
              <w:rPr>
                <w:rFonts w:hint="eastAsia" w:asciiTheme="minorEastAsia" w:hAnsiTheme="minorEastAsia"/>
                <w:color w:val="000000"/>
                <w:szCs w:val="21"/>
              </w:rPr>
              <w:t>d.中职资源库</w:t>
            </w:r>
          </w:p>
          <w:p>
            <w:pPr>
              <w:jc w:val="left"/>
              <w:rPr>
                <w:rFonts w:asciiTheme="minorEastAsia" w:hAnsiTheme="minorEastAsia"/>
                <w:color w:val="000000"/>
                <w:szCs w:val="21"/>
              </w:rPr>
            </w:pPr>
            <w:r>
              <w:rPr>
                <w:rFonts w:hint="eastAsia" w:asciiTheme="minorEastAsia" w:hAnsiTheme="minorEastAsia"/>
                <w:color w:val="000000"/>
                <w:szCs w:val="21"/>
              </w:rPr>
              <w:t>中职资源库每个学科均包括：教案示例、习题精选、动画类、课件类、视频类、音频类、图片类等栏目。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农林牧渔类、资源环境类、能源与新能源类、土木水利类、加工制造类、石油化工类、轻纺食品类、交通运输类、信息技术类、医药卫生类、休闲保健类、财经商贸类、旅游服务类、文化艺术类、体育与健身类、教育类、司法服务类、公共管理与服务类等18个类别。</w:t>
            </w:r>
          </w:p>
          <w:p>
            <w:pPr>
              <w:jc w:val="left"/>
              <w:rPr>
                <w:rFonts w:asciiTheme="minorEastAsia" w:hAnsiTheme="minorEastAsia"/>
                <w:color w:val="000000"/>
                <w:szCs w:val="21"/>
              </w:rPr>
            </w:pPr>
            <w:r>
              <w:rPr>
                <w:rFonts w:hint="eastAsia" w:asciiTheme="minorEastAsia" w:hAnsiTheme="minorEastAsia"/>
                <w:color w:val="000000"/>
                <w:szCs w:val="21"/>
              </w:rPr>
              <w:t>e.高职资源库</w:t>
            </w:r>
          </w:p>
          <w:p>
            <w:pPr>
              <w:jc w:val="left"/>
              <w:rPr>
                <w:rFonts w:asciiTheme="minorEastAsia" w:hAnsiTheme="minorEastAsia"/>
                <w:color w:val="000000"/>
                <w:szCs w:val="21"/>
              </w:rPr>
            </w:pPr>
            <w:r>
              <w:rPr>
                <w:rFonts w:hint="eastAsia" w:asciiTheme="minorEastAsia" w:hAnsiTheme="minorEastAsia"/>
                <w:color w:val="000000"/>
                <w:szCs w:val="21"/>
              </w:rPr>
              <w:t>高职资源库每个学科均包括：教案示例、习题精选、动画类、课件类、视频类、音频类、图片类等栏目。</w:t>
            </w:r>
          </w:p>
          <w:p>
            <w:pPr>
              <w:jc w:val="left"/>
              <w:rPr>
                <w:rFonts w:asciiTheme="minorEastAsia" w:hAnsiTheme="minorEastAsia"/>
                <w:color w:val="000000"/>
                <w:szCs w:val="21"/>
              </w:rPr>
            </w:pPr>
            <w:r>
              <w:rPr>
                <w:rFonts w:hint="eastAsia" w:asciiTheme="minorEastAsia" w:hAnsiTheme="minorEastAsia"/>
                <w:color w:val="000000"/>
                <w:szCs w:val="21"/>
              </w:rPr>
              <w:t>资源覆盖材料与能源、财经、法律、旅游、文化教育、医药卫生、艺术设计传媒等7个类别。</w:t>
            </w:r>
          </w:p>
          <w:p>
            <w:pPr>
              <w:jc w:val="left"/>
              <w:rPr>
                <w:rFonts w:asciiTheme="minorEastAsia" w:hAnsiTheme="minorEastAsia"/>
                <w:color w:val="000000"/>
                <w:szCs w:val="21"/>
              </w:rPr>
            </w:pPr>
            <w:r>
              <w:rPr>
                <w:rFonts w:hint="eastAsia"/>
                <w:sz w:val="22"/>
              </w:rPr>
              <w:t>▲</w:t>
            </w:r>
            <w:r>
              <w:rPr>
                <w:rFonts w:hint="eastAsia" w:asciiTheme="minorEastAsia" w:hAnsiTheme="minorEastAsia"/>
                <w:color w:val="000000"/>
                <w:szCs w:val="21"/>
              </w:rPr>
              <w:t>（2）数字教材: 免费提供正版人民教育出版社数字教材使用权一年，数字教材覆盖小学、初中、高中三个学段各个年级各个学科；数字教材内容能根据中小学教材内容的变化随时更新与补充；</w:t>
            </w:r>
          </w:p>
          <w:p>
            <w:pPr>
              <w:jc w:val="left"/>
              <w:rPr>
                <w:rFonts w:asciiTheme="minorEastAsia" w:hAnsiTheme="minorEastAsia"/>
                <w:color w:val="000000"/>
                <w:szCs w:val="21"/>
              </w:rPr>
            </w:pPr>
            <w:r>
              <w:rPr>
                <w:rFonts w:hint="eastAsia" w:asciiTheme="minorEastAsia" w:hAnsiTheme="minorEastAsia"/>
                <w:color w:val="000000"/>
                <w:szCs w:val="21"/>
              </w:rPr>
              <w:t>（3）学科题库资源：提供丰富的学科试题库，支持教师自定义题目，能够自定义单选、多选、判断、解答等多种类型题目。学科试题库提供按学科知识点与学科教材目录同步检索方式，方便教师使用。</w:t>
            </w:r>
          </w:p>
          <w:p>
            <w:pPr>
              <w:jc w:val="left"/>
              <w:rPr>
                <w:rFonts w:asciiTheme="minorEastAsia" w:hAnsiTheme="minorEastAsia"/>
                <w:color w:val="000000"/>
                <w:szCs w:val="21"/>
              </w:rPr>
            </w:pPr>
            <w:r>
              <w:rPr>
                <w:rFonts w:hint="eastAsia" w:asciiTheme="minorEastAsia" w:hAnsiTheme="minorEastAsia"/>
                <w:color w:val="000000"/>
                <w:szCs w:val="21"/>
              </w:rPr>
              <w:t>4、数学备授课工具</w:t>
            </w:r>
          </w:p>
          <w:p>
            <w:pPr>
              <w:jc w:val="left"/>
              <w:rPr>
                <w:rFonts w:asciiTheme="minorEastAsia" w:hAnsiTheme="minorEastAsia"/>
                <w:color w:val="000000"/>
                <w:szCs w:val="21"/>
              </w:rPr>
            </w:pPr>
            <w:r>
              <w:rPr>
                <w:rFonts w:hint="eastAsia" w:asciiTheme="minorEastAsia" w:hAnsiTheme="minorEastAsia"/>
                <w:color w:val="000000"/>
                <w:szCs w:val="21"/>
              </w:rPr>
              <w:t>（1）登录方式：支持微信扫码登录，注册后绑定微信，可方便老师在大屏上登录，无需键盘输入密码。</w:t>
            </w:r>
          </w:p>
          <w:p>
            <w:pPr>
              <w:jc w:val="left"/>
              <w:rPr>
                <w:rFonts w:asciiTheme="minorEastAsia" w:hAnsiTheme="minorEastAsia"/>
                <w:color w:val="000000"/>
                <w:szCs w:val="21"/>
              </w:rPr>
            </w:pPr>
            <w:r>
              <w:rPr>
                <w:rFonts w:hint="eastAsia" w:asciiTheme="minorEastAsia" w:hAnsiTheme="minorEastAsia"/>
                <w:color w:val="000000"/>
                <w:szCs w:val="21"/>
              </w:rPr>
              <w:t>（2）实时保存：课件制作过程中实时保存到云端，避免因断电关机、死机等问题而导致课件制作过程中的遗失问题。</w:t>
            </w:r>
          </w:p>
          <w:p>
            <w:pPr>
              <w:jc w:val="left"/>
              <w:rPr>
                <w:rFonts w:asciiTheme="minorEastAsia" w:hAnsiTheme="minorEastAsia"/>
                <w:color w:val="000000"/>
                <w:szCs w:val="21"/>
              </w:rPr>
            </w:pPr>
            <w:r>
              <w:rPr>
                <w:rFonts w:hint="eastAsia" w:asciiTheme="minorEastAsia" w:hAnsiTheme="minorEastAsia"/>
                <w:color w:val="000000"/>
                <w:szCs w:val="21"/>
              </w:rPr>
              <w:t>（3）课件云端同步：所有制作的课件均可云端保存，无需使用U盘等设备，老师只需要登陆即可查看，无需随身携带U盘，并解决了电脑存储小以及更换设备等问题。</w:t>
            </w:r>
          </w:p>
          <w:p>
            <w:pPr>
              <w:jc w:val="left"/>
              <w:rPr>
                <w:rFonts w:asciiTheme="minorEastAsia" w:hAnsiTheme="minorEastAsia"/>
                <w:color w:val="000000"/>
                <w:szCs w:val="21"/>
              </w:rPr>
            </w:pPr>
            <w:r>
              <w:rPr>
                <w:rFonts w:hint="eastAsia" w:asciiTheme="minorEastAsia" w:hAnsiTheme="minorEastAsia"/>
                <w:color w:val="000000"/>
                <w:szCs w:val="21"/>
              </w:rPr>
              <w:t>（4）离线模式：在无网络环境下，通过提前安装的桌面端依然可以播放已下载的课件，无网络教室也可以使用授课。</w:t>
            </w:r>
          </w:p>
          <w:p>
            <w:pPr>
              <w:jc w:val="left"/>
              <w:rPr>
                <w:rFonts w:asciiTheme="minorEastAsia" w:hAnsiTheme="minorEastAsia"/>
                <w:color w:val="000000"/>
                <w:szCs w:val="21"/>
              </w:rPr>
            </w:pPr>
            <w:r>
              <w:rPr>
                <w:rFonts w:hint="eastAsia" w:asciiTheme="minorEastAsia" w:hAnsiTheme="minorEastAsia"/>
                <w:color w:val="000000"/>
                <w:szCs w:val="21"/>
              </w:rPr>
              <w:t>（5）课件背景：提供16种背景颜色可供选择，每页课件可设计不同颜色。</w:t>
            </w:r>
          </w:p>
          <w:p>
            <w:pPr>
              <w:jc w:val="left"/>
              <w:rPr>
                <w:rFonts w:asciiTheme="minorEastAsia" w:hAnsiTheme="minorEastAsia"/>
                <w:color w:val="000000"/>
                <w:szCs w:val="21"/>
              </w:rPr>
            </w:pPr>
            <w:r>
              <w:rPr>
                <w:rFonts w:hint="eastAsia" w:asciiTheme="minorEastAsia" w:hAnsiTheme="minorEastAsia"/>
                <w:color w:val="000000"/>
                <w:szCs w:val="21"/>
              </w:rPr>
              <w:t>（6）文本框：支持文本输入并快速设置四种字体：微软雅黑、宋体、黑体、英文字体；可快速调整字体大小、颜色、粗体、斜体、下划线、项目符号、方程式等复杂文本的输入。可设置文本的对齐方式，支持1倍、1.5倍、2倍行间距的设置。提供5种文本框样式，可对边框线条样式及颜色进行选择。支持0~100调整透明度。</w:t>
            </w:r>
          </w:p>
          <w:p>
            <w:pPr>
              <w:jc w:val="left"/>
              <w:rPr>
                <w:rFonts w:asciiTheme="minorEastAsia" w:hAnsiTheme="minorEastAsia"/>
                <w:color w:val="000000"/>
                <w:szCs w:val="21"/>
              </w:rPr>
            </w:pPr>
            <w:r>
              <w:rPr>
                <w:rFonts w:hint="eastAsia" w:asciiTheme="minorEastAsia" w:hAnsiTheme="minorEastAsia"/>
                <w:color w:val="000000"/>
                <w:szCs w:val="21"/>
              </w:rPr>
              <w:t>（7）图形编辑：支持直线、箭头、矩形等基本图形，并可以自己动手设计需要的图形。支持对图形对象进行颜色、边框、透明度、大小、角度等属性设置。</w:t>
            </w:r>
          </w:p>
          <w:p>
            <w:pPr>
              <w:jc w:val="left"/>
              <w:rPr>
                <w:rFonts w:asciiTheme="minorEastAsia" w:hAnsiTheme="minorEastAsia"/>
                <w:color w:val="000000"/>
                <w:szCs w:val="21"/>
              </w:rPr>
            </w:pPr>
            <w:r>
              <w:rPr>
                <w:rFonts w:hint="eastAsia" w:asciiTheme="minorEastAsia" w:hAnsiTheme="minorEastAsia"/>
                <w:color w:val="000000"/>
                <w:szCs w:val="21"/>
              </w:rPr>
              <w:t>（8）动画效果：提供7种动画效果：显现、弹入、浮入、翻转、旋转、缩放、橡皮筋，可设计动画顺序效果，可通过翻页或点击触发效果。可修改动画出现的先后顺序。</w:t>
            </w:r>
          </w:p>
          <w:p>
            <w:pPr>
              <w:jc w:val="left"/>
              <w:rPr>
                <w:rFonts w:asciiTheme="minorEastAsia" w:hAnsiTheme="minorEastAsia"/>
                <w:color w:val="000000"/>
                <w:szCs w:val="21"/>
              </w:rPr>
            </w:pPr>
            <w:r>
              <w:rPr>
                <w:rFonts w:hint="eastAsia" w:asciiTheme="minorEastAsia" w:hAnsiTheme="minorEastAsia"/>
                <w:color w:val="000000"/>
                <w:szCs w:val="21"/>
              </w:rPr>
              <w:t>（9）插入：支持图片文件的导入，支持快速插入表格。可在任意课件页中插入新的课件页。</w:t>
            </w:r>
          </w:p>
          <w:p>
            <w:pPr>
              <w:jc w:val="left"/>
              <w:rPr>
                <w:rFonts w:asciiTheme="minorEastAsia" w:hAnsiTheme="minorEastAsia"/>
                <w:color w:val="000000"/>
                <w:szCs w:val="21"/>
              </w:rPr>
            </w:pPr>
            <w:r>
              <w:rPr>
                <w:rFonts w:hint="eastAsia" w:asciiTheme="minorEastAsia" w:hAnsiTheme="minorEastAsia"/>
                <w:color w:val="000000"/>
                <w:szCs w:val="21"/>
              </w:rPr>
              <w:t>（10）图片的编辑：可对插入的图片设置图层顺序，支持调整图片宽高比例，且可以锁定宽高比调整图片大小。可任意设置图片旋转角度、垂直镜像翻转和水平镜像翻转。可对图片设置投影方式以及调整图片透明度。支持上传后随时对图片进行裁剪。</w:t>
            </w:r>
          </w:p>
          <w:p>
            <w:pPr>
              <w:jc w:val="left"/>
              <w:rPr>
                <w:rFonts w:asciiTheme="minorEastAsia" w:hAnsiTheme="minorEastAsia"/>
                <w:color w:val="000000"/>
                <w:szCs w:val="21"/>
              </w:rPr>
            </w:pPr>
            <w:r>
              <w:rPr>
                <w:rFonts w:hint="eastAsia" w:asciiTheme="minorEastAsia" w:hAnsiTheme="minorEastAsia"/>
                <w:color w:val="000000"/>
                <w:szCs w:val="21"/>
              </w:rPr>
              <w:t>（11）数学公式编辑器：可插入高级公式如：普通运算符号、根号、分数、上下角标、不等号、希腊字母、集合运算、逻辑符号、积分符号、求和符号、运算箭头、上下标箭头以及其他常用符号。支持LaTex公式利用代码编辑高级公式等。可快速输入繁分数，支持自动修正数学符号字体。</w:t>
            </w:r>
          </w:p>
          <w:p>
            <w:pPr>
              <w:jc w:val="left"/>
              <w:rPr>
                <w:rFonts w:asciiTheme="minorEastAsia" w:hAnsiTheme="minorEastAsia"/>
                <w:color w:val="000000"/>
                <w:szCs w:val="21"/>
              </w:rPr>
            </w:pPr>
            <w:r>
              <w:rPr>
                <w:rFonts w:hint="eastAsia" w:asciiTheme="minorEastAsia" w:hAnsiTheme="minorEastAsia"/>
                <w:color w:val="000000"/>
                <w:szCs w:val="21"/>
              </w:rPr>
              <w:t>（12）3D绘图：涵盖大部分平面绘图功能，还有平面系列功能，相交曲线系列功能，平面系列功能等，几何体系列功能。可以绘制所有立体几何图形：例如：棱柱，棱锥，展开图，曲线，曲面，相交曲线等可以制作所有动态立体课件，例如：震荡，视图旋转，空间运动，投影等等；指令及功能涵盖：3D指令集合，代数指令集合，几何变换指令集合，函数与微积分指令集合，文本指令集合，向量与矩阵指令集合等等</w:t>
            </w:r>
          </w:p>
          <w:p>
            <w:pPr>
              <w:jc w:val="left"/>
              <w:rPr>
                <w:rFonts w:asciiTheme="minorEastAsia" w:hAnsiTheme="minorEastAsia"/>
                <w:color w:val="000000"/>
                <w:szCs w:val="21"/>
              </w:rPr>
            </w:pPr>
            <w:r>
              <w:rPr>
                <w:rFonts w:hint="eastAsia" w:asciiTheme="minorEastAsia" w:hAnsiTheme="minorEastAsia"/>
                <w:color w:val="000000"/>
                <w:szCs w:val="21"/>
              </w:rPr>
              <w:t>（13）2D动态课件制作工具：</w:t>
            </w:r>
          </w:p>
          <w:p>
            <w:pPr>
              <w:jc w:val="left"/>
              <w:rPr>
                <w:rFonts w:asciiTheme="minorEastAsia" w:hAnsiTheme="minorEastAsia"/>
                <w:color w:val="000000"/>
                <w:szCs w:val="21"/>
              </w:rPr>
            </w:pPr>
            <w:r>
              <w:rPr>
                <w:rFonts w:hint="eastAsia" w:asciiTheme="minorEastAsia" w:hAnsiTheme="minorEastAsia"/>
                <w:color w:val="000000"/>
                <w:szCs w:val="21"/>
              </w:rPr>
              <w:t>①描点系列功能，直线线段系列功能，平行线垂线系列功能，圆系列功能，角度系列功能，对称系列功能，文本系列功能，参数变量系类功能等等；</w:t>
            </w:r>
          </w:p>
          <w:p>
            <w:pPr>
              <w:jc w:val="left"/>
              <w:rPr>
                <w:rFonts w:asciiTheme="minorEastAsia" w:hAnsiTheme="minorEastAsia"/>
                <w:color w:val="000000"/>
                <w:szCs w:val="21"/>
              </w:rPr>
            </w:pPr>
            <w:r>
              <w:rPr>
                <w:rFonts w:hint="eastAsia" w:asciiTheme="minorEastAsia" w:hAnsiTheme="minorEastAsia"/>
                <w:color w:val="000000"/>
                <w:szCs w:val="21"/>
              </w:rPr>
              <w:t>②可以绘制所有平面图形：例如：多边形，圆，圆锥曲线，向量，解析几何函数图形等等；</w:t>
            </w:r>
          </w:p>
          <w:p>
            <w:pPr>
              <w:jc w:val="left"/>
              <w:rPr>
                <w:rFonts w:asciiTheme="minorEastAsia" w:hAnsiTheme="minorEastAsia"/>
                <w:color w:val="000000"/>
                <w:szCs w:val="21"/>
              </w:rPr>
            </w:pPr>
            <w:r>
              <w:rPr>
                <w:rFonts w:hint="eastAsia" w:asciiTheme="minorEastAsia" w:hAnsiTheme="minorEastAsia"/>
                <w:color w:val="000000"/>
                <w:szCs w:val="21"/>
              </w:rPr>
              <w:t>③可以制作所有平面动态课件，也可以制作模拟3D动态课件，例如：翻折，旋转等初级动态效果，迭代，列表等高级动态效果；</w:t>
            </w:r>
          </w:p>
          <w:p>
            <w:pPr>
              <w:jc w:val="left"/>
              <w:rPr>
                <w:rFonts w:asciiTheme="minorEastAsia" w:hAnsiTheme="minorEastAsia"/>
                <w:color w:val="000000"/>
                <w:szCs w:val="21"/>
              </w:rPr>
            </w:pPr>
            <w:r>
              <w:rPr>
                <w:rFonts w:hint="eastAsia" w:asciiTheme="minorEastAsia" w:hAnsiTheme="minorEastAsia"/>
                <w:color w:val="000000"/>
                <w:szCs w:val="21"/>
              </w:rPr>
              <w:t>④指令及功能涵盖：代数指令集合，几何变换指令集合，函数与微积分指令集合，图表指令集合，离散数学指令几何，文本指令集合，向量与矩阵指令集合等等；</w:t>
            </w:r>
          </w:p>
          <w:p>
            <w:pPr>
              <w:jc w:val="left"/>
              <w:rPr>
                <w:rFonts w:asciiTheme="minorEastAsia" w:hAnsiTheme="minorEastAsia"/>
                <w:color w:val="000000"/>
                <w:szCs w:val="21"/>
              </w:rPr>
            </w:pPr>
            <w:r>
              <w:rPr>
                <w:rFonts w:hint="eastAsia" w:asciiTheme="minorEastAsia" w:hAnsiTheme="minorEastAsia"/>
                <w:color w:val="000000"/>
                <w:szCs w:val="21"/>
              </w:rPr>
              <w:t>（14）课件素材：</w:t>
            </w:r>
          </w:p>
          <w:p>
            <w:pPr>
              <w:jc w:val="left"/>
              <w:rPr>
                <w:rFonts w:asciiTheme="minorEastAsia" w:hAnsiTheme="minorEastAsia"/>
                <w:color w:val="000000"/>
                <w:szCs w:val="21"/>
              </w:rPr>
            </w:pPr>
            <w:r>
              <w:rPr>
                <w:rFonts w:hint="eastAsia" w:asciiTheme="minorEastAsia" w:hAnsiTheme="minorEastAsia"/>
                <w:color w:val="000000"/>
                <w:szCs w:val="21"/>
              </w:rPr>
              <w:t>①涵盖初高中数学学科全部章节课件，高质量贴近教学；</w:t>
            </w:r>
          </w:p>
          <w:p>
            <w:pPr>
              <w:jc w:val="left"/>
              <w:rPr>
                <w:rFonts w:asciiTheme="minorEastAsia" w:hAnsiTheme="minorEastAsia"/>
                <w:color w:val="000000"/>
                <w:szCs w:val="21"/>
              </w:rPr>
            </w:pPr>
            <w:r>
              <w:rPr>
                <w:rFonts w:hint="eastAsia" w:asciiTheme="minorEastAsia" w:hAnsiTheme="minorEastAsia"/>
                <w:color w:val="000000"/>
                <w:szCs w:val="21"/>
              </w:rPr>
              <w:t>②素材丰富，支持组选：课堂引入，知识引导与探索，知识辨析与练习，例题与变式，拓展延伸，课堂练习等等，注重知识的形成过程；</w:t>
            </w:r>
          </w:p>
          <w:p>
            <w:pPr>
              <w:jc w:val="left"/>
              <w:rPr>
                <w:rFonts w:asciiTheme="minorEastAsia" w:hAnsiTheme="minorEastAsia"/>
                <w:color w:val="000000"/>
                <w:szCs w:val="21"/>
              </w:rPr>
            </w:pPr>
            <w:r>
              <w:rPr>
                <w:rFonts w:hint="eastAsia" w:asciiTheme="minorEastAsia" w:hAnsiTheme="minorEastAsia"/>
                <w:color w:val="000000"/>
                <w:szCs w:val="21"/>
              </w:rPr>
              <w:t>③内置上千个制作完成的动态课件，可直接选用插入到课件中；</w:t>
            </w:r>
          </w:p>
          <w:p>
            <w:pPr>
              <w:jc w:val="left"/>
              <w:rPr>
                <w:rFonts w:asciiTheme="minorEastAsia" w:hAnsiTheme="minorEastAsia"/>
                <w:color w:val="000000"/>
                <w:szCs w:val="21"/>
              </w:rPr>
            </w:pPr>
            <w:r>
              <w:rPr>
                <w:rFonts w:hint="eastAsia" w:asciiTheme="minorEastAsia" w:hAnsiTheme="minorEastAsia"/>
                <w:color w:val="000000"/>
                <w:szCs w:val="21"/>
              </w:rPr>
              <w:t>（15）题库：课件支持插入题库功能。并可定位教材版本，知识点；支持选择题型和试题难度；题库内容添加进课件之后，还可以对文本和公式进行二次编辑。题中公式均采用LaTex公式编写，支持老师进行改编；题库来源：历年中高考真题、各省市或学校考试真题，以及主流教辅书的习题精选。题库总量高达20万道。</w:t>
            </w:r>
          </w:p>
          <w:p>
            <w:pPr>
              <w:jc w:val="left"/>
              <w:rPr>
                <w:rFonts w:asciiTheme="minorEastAsia" w:hAnsiTheme="minorEastAsia"/>
                <w:color w:val="000000"/>
                <w:szCs w:val="21"/>
              </w:rPr>
            </w:pPr>
            <w:r>
              <w:rPr>
                <w:rFonts w:hint="eastAsia" w:asciiTheme="minorEastAsia" w:hAnsiTheme="minorEastAsia"/>
                <w:color w:val="000000"/>
                <w:szCs w:val="21"/>
              </w:rPr>
              <w:t>（16）课件播放：</w:t>
            </w:r>
          </w:p>
          <w:p>
            <w:pPr>
              <w:jc w:val="left"/>
              <w:rPr>
                <w:rFonts w:asciiTheme="minorEastAsia" w:hAnsiTheme="minorEastAsia"/>
                <w:color w:val="000000"/>
                <w:szCs w:val="21"/>
              </w:rPr>
            </w:pPr>
            <w:r>
              <w:rPr>
                <w:rFonts w:hint="eastAsia" w:asciiTheme="minorEastAsia" w:hAnsiTheme="minorEastAsia"/>
                <w:color w:val="000000"/>
                <w:szCs w:val="21"/>
              </w:rPr>
              <w:t>①备授课一体化，并加以区分，进入产品后默认进入编辑备课页面，当点击播放后即可进行授课，符合用户使用需求</w:t>
            </w:r>
          </w:p>
          <w:p>
            <w:pPr>
              <w:jc w:val="left"/>
              <w:rPr>
                <w:rFonts w:asciiTheme="minorEastAsia" w:hAnsiTheme="minorEastAsia"/>
                <w:color w:val="000000"/>
                <w:szCs w:val="21"/>
              </w:rPr>
            </w:pPr>
            <w:r>
              <w:rPr>
                <w:rFonts w:hint="eastAsia" w:asciiTheme="minorEastAsia" w:hAnsiTheme="minorEastAsia"/>
                <w:color w:val="000000"/>
                <w:szCs w:val="21"/>
              </w:rPr>
              <w:t>②可通过点击或触摸屏幕实现动画的显示和翻页，同时支持支持翻页笔。</w:t>
            </w:r>
          </w:p>
          <w:p>
            <w:pPr>
              <w:jc w:val="left"/>
              <w:rPr>
                <w:rFonts w:asciiTheme="minorEastAsia" w:hAnsiTheme="minorEastAsia"/>
                <w:color w:val="000000"/>
                <w:szCs w:val="21"/>
              </w:rPr>
            </w:pPr>
            <w:r>
              <w:rPr>
                <w:rFonts w:hint="eastAsia" w:asciiTheme="minorEastAsia" w:hAnsiTheme="minorEastAsia"/>
                <w:color w:val="000000"/>
                <w:szCs w:val="21"/>
              </w:rPr>
              <w:t>③播放过程中可对页面放大。支持手写标注圈选功能，配合四种颜色画笔，可在课件中任意绘画，且可以用橡皮擦功能部分擦除和一键擦除。</w:t>
            </w:r>
          </w:p>
          <w:p>
            <w:pPr>
              <w:jc w:val="left"/>
              <w:rPr>
                <w:rFonts w:asciiTheme="minorEastAsia" w:hAnsiTheme="minorEastAsia"/>
                <w:color w:val="000000"/>
                <w:szCs w:val="21"/>
              </w:rPr>
            </w:pPr>
            <w:r>
              <w:rPr>
                <w:rFonts w:hint="eastAsia" w:asciiTheme="minorEastAsia" w:hAnsiTheme="minorEastAsia"/>
                <w:color w:val="000000"/>
                <w:szCs w:val="21"/>
              </w:rPr>
              <w:t>（17）打印（网页版）：支持将做好的课件打印成纸质版和导出成PDF，方便老师制作教案；支持选择打印规格：可选择横向纵向打印，支持选择每页打印1张、2张或4张。</w:t>
            </w:r>
          </w:p>
        </w:tc>
        <w:tc>
          <w:tcPr>
            <w:tcW w:w="1612" w:type="dxa"/>
            <w:vMerge w:val="continue"/>
            <w:shd w:val="clear" w:color="auto" w:fill="auto"/>
            <w:noWrap/>
            <w:vAlign w:val="center"/>
          </w:tcPr>
          <w:p>
            <w:pPr>
              <w:jc w:val="left"/>
              <w:rPr>
                <w:rFonts w:asciiTheme="minorEastAsia" w:hAnsiTheme="minorEastAsia"/>
                <w:color w:val="000000"/>
                <w:szCs w:val="21"/>
              </w:rPr>
            </w:pPr>
          </w:p>
        </w:tc>
        <w:tc>
          <w:tcPr>
            <w:tcW w:w="1852" w:type="dxa"/>
            <w:vMerge w:val="continue"/>
            <w:shd w:val="clear" w:color="auto" w:fill="auto"/>
            <w:noWrap/>
            <w:vAlign w:val="center"/>
          </w:tcPr>
          <w:p>
            <w:pPr>
              <w:jc w:val="left"/>
              <w:rPr>
                <w:rFonts w:asciiTheme="minorEastAsia" w:hAnsiTheme="minorEastAsia"/>
                <w:color w:val="000000"/>
                <w:szCs w:val="21"/>
              </w:rPr>
            </w:pPr>
          </w:p>
        </w:tc>
        <w:tc>
          <w:tcPr>
            <w:tcW w:w="1852" w:type="dxa"/>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9" w:hRule="atLeast"/>
        </w:trPr>
        <w:tc>
          <w:tcPr>
            <w:tcW w:w="550" w:type="dxa"/>
            <w:vMerge w:val="continue"/>
            <w:shd w:val="clear" w:color="auto" w:fill="auto"/>
            <w:noWrap/>
            <w:vAlign w:val="center"/>
          </w:tcPr>
          <w:p>
            <w:pPr>
              <w:jc w:val="left"/>
              <w:rPr>
                <w:rFonts w:asciiTheme="minorEastAsia" w:hAnsiTheme="minorEastAsia"/>
                <w:color w:val="000000"/>
                <w:szCs w:val="21"/>
              </w:rPr>
            </w:pPr>
          </w:p>
        </w:tc>
        <w:tc>
          <w:tcPr>
            <w:tcW w:w="718" w:type="dxa"/>
            <w:vMerge w:val="continue"/>
            <w:shd w:val="clear" w:color="auto" w:fill="auto"/>
            <w:vAlign w:val="center"/>
          </w:tcPr>
          <w:p>
            <w:pPr>
              <w:jc w:val="left"/>
              <w:rPr>
                <w:rFonts w:asciiTheme="minorEastAsia" w:hAnsiTheme="minorEastAsia"/>
                <w:color w:val="000000"/>
                <w:szCs w:val="21"/>
              </w:rPr>
            </w:pP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四、展台软件：</w:t>
            </w:r>
          </w:p>
          <w:p>
            <w:pPr>
              <w:jc w:val="left"/>
              <w:rPr>
                <w:rFonts w:asciiTheme="minorEastAsia" w:hAnsiTheme="minorEastAsia"/>
                <w:color w:val="000000"/>
                <w:szCs w:val="21"/>
              </w:rPr>
            </w:pPr>
            <w:r>
              <w:rPr>
                <w:rFonts w:hint="eastAsia" w:asciiTheme="minorEastAsia" w:hAnsiTheme="minorEastAsia"/>
                <w:color w:val="000000"/>
                <w:szCs w:val="21"/>
              </w:rPr>
              <w:t>（1）具有拍照截图、智能连拍功能，支持通用、文档、色彩三种图像模式，方便用户根据实际教学场景切换模式；</w:t>
            </w:r>
          </w:p>
          <w:p>
            <w:pPr>
              <w:jc w:val="left"/>
              <w:rPr>
                <w:rFonts w:asciiTheme="minorEastAsia" w:hAnsiTheme="minorEastAsia"/>
                <w:color w:val="000000"/>
                <w:szCs w:val="21"/>
              </w:rPr>
            </w:pPr>
            <w:r>
              <w:rPr>
                <w:rFonts w:hint="eastAsia" w:asciiTheme="minorEastAsia" w:hAnsiTheme="minorEastAsia"/>
                <w:color w:val="000000"/>
                <w:szCs w:val="21"/>
              </w:rPr>
              <w:t>（2）不借助物理按键和触摸菜单，通过手势实现图像360°旋转、放大、缩小、移动、全屏等操作；</w:t>
            </w:r>
          </w:p>
          <w:p>
            <w:pPr>
              <w:jc w:val="left"/>
              <w:rPr>
                <w:rFonts w:asciiTheme="minorEastAsia" w:hAnsiTheme="minorEastAsia"/>
                <w:color w:val="000000"/>
                <w:szCs w:val="21"/>
              </w:rPr>
            </w:pPr>
            <w:r>
              <w:rPr>
                <w:rFonts w:hint="eastAsia" w:asciiTheme="minorEastAsia" w:hAnsiTheme="minorEastAsia"/>
                <w:color w:val="000000"/>
                <w:szCs w:val="21"/>
              </w:rPr>
              <w:t>（3）具有点击方式进行实时画面及图片的同屏对比功能，且支持本地图片导入功能；</w:t>
            </w:r>
          </w:p>
          <w:p>
            <w:pPr>
              <w:jc w:val="left"/>
              <w:rPr>
                <w:rFonts w:asciiTheme="minorEastAsia" w:hAnsiTheme="minorEastAsia"/>
                <w:color w:val="000000"/>
                <w:szCs w:val="21"/>
              </w:rPr>
            </w:pPr>
            <w:r>
              <w:rPr>
                <w:rFonts w:hint="eastAsia" w:asciiTheme="minorEastAsia" w:hAnsiTheme="minorEastAsia"/>
                <w:color w:val="000000"/>
                <w:szCs w:val="21"/>
              </w:rPr>
              <w:t>（4）支持展台画面实时批注，预设多种笔划粗细及颜色供选择，且支持对展台画面联同批注内容进行同步缩放、移动；</w:t>
            </w:r>
          </w:p>
          <w:p>
            <w:pPr>
              <w:jc w:val="left"/>
              <w:rPr>
                <w:rFonts w:asciiTheme="minorEastAsia" w:hAnsiTheme="minorEastAsia"/>
                <w:color w:val="000000"/>
                <w:szCs w:val="21"/>
              </w:rPr>
            </w:pPr>
            <w:r>
              <w:rPr>
                <w:rFonts w:hint="eastAsia" w:asciiTheme="minorEastAsia" w:hAnsiTheme="minorEastAsia"/>
                <w:color w:val="000000"/>
                <w:szCs w:val="21"/>
              </w:rPr>
              <w:t>（5）支持不少于三种裁切模式：无裁切、单图裁切、多图裁切，根据所选模式自动裁切图像，生成正式文档；</w:t>
            </w:r>
          </w:p>
          <w:p>
            <w:pPr>
              <w:jc w:val="left"/>
              <w:rPr>
                <w:rFonts w:asciiTheme="minorEastAsia" w:hAnsiTheme="minorEastAsia"/>
                <w:color w:val="000000"/>
                <w:szCs w:val="21"/>
              </w:rPr>
            </w:pPr>
            <w:r>
              <w:rPr>
                <w:rFonts w:hint="eastAsia" w:asciiTheme="minorEastAsia" w:hAnsiTheme="minorEastAsia"/>
                <w:color w:val="000000"/>
                <w:szCs w:val="21"/>
              </w:rPr>
              <w:t>（6）同屏对比支持多图联动缩放和单图缩放两种模式，并支持不少于五张图片同屏对比；</w:t>
            </w:r>
          </w:p>
          <w:p>
            <w:pPr>
              <w:jc w:val="left"/>
              <w:rPr>
                <w:rFonts w:asciiTheme="minorEastAsia" w:hAnsiTheme="minorEastAsia"/>
                <w:color w:val="000000"/>
                <w:szCs w:val="21"/>
              </w:rPr>
            </w:pPr>
            <w:r>
              <w:rPr>
                <w:rFonts w:hint="eastAsia" w:asciiTheme="minorEastAsia" w:hAnsiTheme="minorEastAsia"/>
                <w:color w:val="000000"/>
                <w:szCs w:val="21"/>
              </w:rPr>
              <w:t>（7）支持拍照图片去背景功能；</w:t>
            </w:r>
          </w:p>
          <w:p>
            <w:pPr>
              <w:jc w:val="left"/>
              <w:rPr>
                <w:rFonts w:asciiTheme="minorEastAsia" w:hAnsiTheme="minorEastAsia"/>
                <w:color w:val="000000"/>
                <w:szCs w:val="21"/>
              </w:rPr>
            </w:pPr>
            <w:r>
              <w:rPr>
                <w:rFonts w:hint="eastAsia" w:asciiTheme="minorEastAsia" w:hAnsiTheme="minorEastAsia"/>
                <w:color w:val="000000"/>
                <w:szCs w:val="21"/>
              </w:rPr>
              <w:t>（8）图像修正：具有缺角补边功能；</w:t>
            </w:r>
          </w:p>
          <w:p>
            <w:pPr>
              <w:jc w:val="left"/>
              <w:rPr>
                <w:rFonts w:asciiTheme="minorEastAsia" w:hAnsiTheme="minorEastAsia"/>
                <w:color w:val="000000"/>
                <w:szCs w:val="21"/>
              </w:rPr>
            </w:pPr>
            <w:r>
              <w:rPr>
                <w:rFonts w:hint="eastAsia" w:asciiTheme="minorEastAsia" w:hAnsiTheme="minorEastAsia"/>
                <w:color w:val="000000"/>
                <w:szCs w:val="21"/>
              </w:rPr>
              <w:t>（9）展台软件具有自检功能：硬件检测、解码器、机器序列号等，方便维护升级.；</w:t>
            </w:r>
          </w:p>
          <w:p>
            <w:pPr>
              <w:jc w:val="left"/>
              <w:rPr>
                <w:rFonts w:asciiTheme="minorEastAsia" w:hAnsiTheme="minorEastAsia"/>
                <w:color w:val="000000"/>
                <w:szCs w:val="21"/>
              </w:rPr>
            </w:pPr>
            <w:r>
              <w:rPr>
                <w:rFonts w:hint="eastAsia" w:asciiTheme="minorEastAsia" w:hAnsiTheme="minorEastAsia"/>
                <w:color w:val="000000"/>
                <w:szCs w:val="21"/>
              </w:rPr>
              <w:t>（10）索引栏支持左右位置互换，方便教学使用；且实时画面始终置于索引栏顶部，可随时调用；</w:t>
            </w:r>
          </w:p>
          <w:p>
            <w:pPr>
              <w:jc w:val="left"/>
              <w:rPr>
                <w:rFonts w:asciiTheme="minorEastAsia" w:hAnsiTheme="minorEastAsia"/>
                <w:color w:val="000000"/>
                <w:szCs w:val="21"/>
              </w:rPr>
            </w:pPr>
            <w:r>
              <w:rPr>
                <w:rFonts w:hint="eastAsia" w:asciiTheme="minorEastAsia" w:hAnsiTheme="minorEastAsia"/>
                <w:color w:val="000000"/>
                <w:szCs w:val="21"/>
              </w:rPr>
              <w:t>（11）支持最少5幅展台画面插入白板软件进行批注；</w:t>
            </w:r>
          </w:p>
          <w:p>
            <w:pPr>
              <w:jc w:val="left"/>
              <w:rPr>
                <w:rFonts w:asciiTheme="minorEastAsia" w:hAnsiTheme="minorEastAsia"/>
                <w:color w:val="000000"/>
                <w:szCs w:val="21"/>
              </w:rPr>
            </w:pPr>
            <w:r>
              <w:rPr>
                <w:rFonts w:hint="eastAsia" w:asciiTheme="minorEastAsia" w:hAnsiTheme="minorEastAsia"/>
                <w:color w:val="000000"/>
                <w:szCs w:val="21"/>
              </w:rPr>
              <w:t>（12）具有图片、课件、文档、试卷等保存功能，方便用户留档备存；</w:t>
            </w:r>
          </w:p>
        </w:tc>
        <w:tc>
          <w:tcPr>
            <w:tcW w:w="1612" w:type="dxa"/>
            <w:vMerge w:val="continue"/>
            <w:shd w:val="clear" w:color="auto" w:fill="auto"/>
            <w:noWrap/>
            <w:vAlign w:val="center"/>
          </w:tcPr>
          <w:p>
            <w:pPr>
              <w:jc w:val="left"/>
              <w:rPr>
                <w:rFonts w:asciiTheme="minorEastAsia" w:hAnsiTheme="minorEastAsia"/>
                <w:color w:val="000000"/>
                <w:szCs w:val="21"/>
              </w:rPr>
            </w:pPr>
          </w:p>
        </w:tc>
        <w:tc>
          <w:tcPr>
            <w:tcW w:w="1852" w:type="dxa"/>
            <w:vMerge w:val="continue"/>
            <w:shd w:val="clear" w:color="auto" w:fill="auto"/>
            <w:noWrap/>
            <w:vAlign w:val="center"/>
          </w:tcPr>
          <w:p>
            <w:pPr>
              <w:jc w:val="left"/>
              <w:rPr>
                <w:rFonts w:asciiTheme="minorEastAsia" w:hAnsiTheme="minorEastAsia"/>
                <w:color w:val="000000"/>
                <w:szCs w:val="21"/>
              </w:rPr>
            </w:pPr>
          </w:p>
        </w:tc>
        <w:tc>
          <w:tcPr>
            <w:tcW w:w="1852" w:type="dxa"/>
            <w:shd w:val="clear" w:color="auto" w:fill="auto"/>
            <w:noWrap/>
            <w:vAlign w:val="center"/>
          </w:tcPr>
          <w:p>
            <w:pPr>
              <w:jc w:val="left"/>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2</w:t>
            </w:r>
          </w:p>
        </w:tc>
        <w:tc>
          <w:tcPr>
            <w:tcW w:w="718" w:type="dxa"/>
            <w:shd w:val="clear" w:color="auto" w:fill="auto"/>
            <w:vAlign w:val="center"/>
          </w:tcPr>
          <w:p>
            <w:pPr>
              <w:jc w:val="center"/>
            </w:pPr>
            <w:r>
              <w:rPr>
                <w:rFonts w:hint="eastAsia"/>
                <w:bCs/>
                <w:szCs w:val="21"/>
              </w:rPr>
              <w:t>激光超短焦投影</w:t>
            </w: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1、投影技术：DLP技术、0.65 英寸DMD；光源材质：※纯激光固态光源；标称亮度（ISO流明）：※3800 ISO流明或以上（符合ISO21118标准）；2、投射方式：内反射超短焦；</w:t>
            </w:r>
          </w:p>
          <w:p>
            <w:pPr>
              <w:jc w:val="left"/>
              <w:rPr>
                <w:rFonts w:asciiTheme="minorEastAsia" w:hAnsiTheme="minorEastAsia"/>
                <w:color w:val="000000"/>
                <w:szCs w:val="21"/>
              </w:rPr>
            </w:pPr>
            <w:r>
              <w:rPr>
                <w:rFonts w:hint="eastAsia" w:asciiTheme="minorEastAsia" w:hAnsiTheme="minorEastAsia"/>
                <w:color w:val="000000"/>
                <w:szCs w:val="21"/>
              </w:rPr>
              <w:t>3、标准分辨率：※WXGA；对比度：※≥35000:1；投射80英寸画面时，镜4、头到画面的距离：※≤47CM；整机功率：≤275W；机身重量：≤6公斤；</w:t>
            </w:r>
          </w:p>
          <w:p>
            <w:pPr>
              <w:jc w:val="left"/>
              <w:rPr>
                <w:rFonts w:asciiTheme="minorEastAsia" w:hAnsiTheme="minorEastAsia"/>
                <w:color w:val="000000"/>
                <w:szCs w:val="21"/>
              </w:rPr>
            </w:pPr>
            <w:r>
              <w:rPr>
                <w:rFonts w:hint="eastAsia" w:asciiTheme="minorEastAsia" w:hAnsiTheme="minorEastAsia"/>
                <w:color w:val="000000"/>
                <w:szCs w:val="21"/>
              </w:rPr>
              <w:t>5、接口参数：RGB in *1，RGB in/out  *1，HDMI in *2，Video in *1，RS232 *1，MINI USB *1，ECP 接口，Kensington™锁端口，AC电源输出 *1；</w:t>
            </w:r>
          </w:p>
          <w:p>
            <w:pPr>
              <w:jc w:val="left"/>
              <w:rPr>
                <w:rFonts w:asciiTheme="minorEastAsia" w:hAnsiTheme="minorEastAsia"/>
                <w:color w:val="000000"/>
                <w:szCs w:val="21"/>
              </w:rPr>
            </w:pPr>
            <w:r>
              <w:rPr>
                <w:rFonts w:hint="eastAsia" w:asciiTheme="minorEastAsia" w:hAnsiTheme="minorEastAsia"/>
                <w:color w:val="000000"/>
                <w:szCs w:val="21"/>
              </w:rPr>
              <w:t>6、其他功能：内置防尘过滤网；快速开关机；全中文控制面板、多语言菜单，多背景色，明亮色彩；智能节电功能；按键一字排列，LED灯柱指示，遥控器节能控制</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3</w:t>
            </w:r>
          </w:p>
        </w:tc>
        <w:tc>
          <w:tcPr>
            <w:tcW w:w="718" w:type="dxa"/>
            <w:shd w:val="clear" w:color="auto" w:fill="auto"/>
            <w:vAlign w:val="center"/>
          </w:tcPr>
          <w:p>
            <w:pPr>
              <w:jc w:val="center"/>
              <w:rPr>
                <w:rFonts w:asciiTheme="minorEastAsia" w:hAnsiTheme="minorEastAsia"/>
                <w:color w:val="000000"/>
                <w:szCs w:val="21"/>
              </w:rPr>
            </w:pPr>
            <w:r>
              <w:rPr>
                <w:rFonts w:hint="eastAsia"/>
              </w:rPr>
              <w:t>电子白板</w:t>
            </w: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w:t>
            </w:r>
            <w:r>
              <w:rPr>
                <w:rFonts w:hint="eastAsia"/>
                <w:sz w:val="22"/>
              </w:rPr>
              <w:t>▲</w:t>
            </w:r>
            <w:r>
              <w:rPr>
                <w:rFonts w:hint="eastAsia" w:asciiTheme="minorEastAsia" w:hAnsiTheme="minorEastAsia"/>
                <w:color w:val="000000"/>
                <w:szCs w:val="21"/>
              </w:rPr>
              <w:t>书写技术：红外线感应技术</w:t>
            </w:r>
          </w:p>
          <w:p>
            <w:pPr>
              <w:jc w:val="left"/>
              <w:rPr>
                <w:rFonts w:asciiTheme="minorEastAsia" w:hAnsiTheme="minorEastAsia"/>
                <w:color w:val="000000"/>
                <w:szCs w:val="21"/>
              </w:rPr>
            </w:pPr>
            <w:r>
              <w:rPr>
                <w:rFonts w:hint="eastAsia" w:asciiTheme="minorEastAsia" w:hAnsiTheme="minorEastAsia"/>
                <w:color w:val="000000"/>
                <w:szCs w:val="21"/>
              </w:rPr>
              <w:t xml:space="preserve">2、边框对角线尺寸：≥93英寸  16：10 </w:t>
            </w:r>
          </w:p>
          <w:p>
            <w:pPr>
              <w:jc w:val="left"/>
              <w:rPr>
                <w:rFonts w:asciiTheme="minorEastAsia" w:hAnsiTheme="minorEastAsia"/>
                <w:color w:val="000000"/>
                <w:szCs w:val="21"/>
              </w:rPr>
            </w:pPr>
            <w:r>
              <w:rPr>
                <w:rFonts w:hint="eastAsia" w:asciiTheme="minorEastAsia" w:hAnsiTheme="minorEastAsia"/>
                <w:color w:val="000000"/>
                <w:szCs w:val="21"/>
              </w:rPr>
              <w:t>3、分辨率：≥32767×32767</w:t>
            </w:r>
          </w:p>
          <w:p>
            <w:pPr>
              <w:jc w:val="left"/>
              <w:rPr>
                <w:rFonts w:asciiTheme="minorEastAsia" w:hAnsiTheme="minorEastAsia"/>
                <w:color w:val="000000"/>
                <w:szCs w:val="21"/>
              </w:rPr>
            </w:pPr>
            <w:r>
              <w:rPr>
                <w:rFonts w:hint="eastAsia" w:asciiTheme="minorEastAsia" w:hAnsiTheme="minorEastAsia"/>
                <w:color w:val="000000"/>
                <w:szCs w:val="21"/>
              </w:rPr>
              <w:t>4、</w:t>
            </w:r>
            <w:r>
              <w:rPr>
                <w:rFonts w:hint="eastAsia"/>
                <w:sz w:val="22"/>
              </w:rPr>
              <w:t>▲</w:t>
            </w:r>
            <w:r>
              <w:rPr>
                <w:rFonts w:hint="eastAsia" w:asciiTheme="minorEastAsia" w:hAnsiTheme="minorEastAsia"/>
                <w:color w:val="000000"/>
                <w:szCs w:val="21"/>
              </w:rPr>
              <w:t>有效感应面积≥90英寸，</w:t>
            </w:r>
          </w:p>
          <w:p>
            <w:pPr>
              <w:jc w:val="left"/>
              <w:rPr>
                <w:rFonts w:asciiTheme="minorEastAsia" w:hAnsiTheme="minorEastAsia"/>
                <w:color w:val="000000"/>
                <w:szCs w:val="21"/>
              </w:rPr>
            </w:pPr>
            <w:r>
              <w:rPr>
                <w:rFonts w:hint="eastAsia" w:asciiTheme="minorEastAsia" w:hAnsiTheme="minorEastAsia"/>
                <w:color w:val="000000"/>
                <w:szCs w:val="21"/>
              </w:rPr>
              <w:t>5、▲多人书写触控：支持四点触控，三人可以同时在电子白板上进行书写。</w:t>
            </w:r>
          </w:p>
          <w:p>
            <w:pPr>
              <w:jc w:val="left"/>
              <w:rPr>
                <w:rFonts w:asciiTheme="minorEastAsia" w:hAnsiTheme="minorEastAsia"/>
                <w:color w:val="000000"/>
                <w:szCs w:val="21"/>
              </w:rPr>
            </w:pPr>
            <w:r>
              <w:rPr>
                <w:rFonts w:hint="eastAsia" w:asciiTheme="minorEastAsia" w:hAnsiTheme="minorEastAsia"/>
                <w:color w:val="000000"/>
                <w:szCs w:val="21"/>
              </w:rPr>
              <w:t>6、</w:t>
            </w:r>
            <w:r>
              <w:rPr>
                <w:rFonts w:hint="eastAsia"/>
                <w:sz w:val="22"/>
              </w:rPr>
              <w:t>▲</w:t>
            </w:r>
            <w:r>
              <w:rPr>
                <w:rFonts w:hint="eastAsia" w:asciiTheme="minorEastAsia" w:hAnsiTheme="minorEastAsia"/>
                <w:color w:val="000000"/>
                <w:szCs w:val="21"/>
              </w:rPr>
              <w:t>面板中文标注快捷键：白板两侧各具备不多于15个中文标注快捷键，通过中文标注快捷键，可直接操作白板软件；在Windows界面下仅通过操作中文标注快捷键，即可实现PPT翻页功能，具备不少于1个自定义中文标注快捷键，可以定义软件功能，方便使用</w:t>
            </w:r>
          </w:p>
          <w:p>
            <w:pPr>
              <w:jc w:val="left"/>
              <w:rPr>
                <w:rFonts w:asciiTheme="minorEastAsia" w:hAnsiTheme="minorEastAsia"/>
                <w:color w:val="000000"/>
                <w:szCs w:val="21"/>
              </w:rPr>
            </w:pPr>
            <w:r>
              <w:rPr>
                <w:rFonts w:hint="eastAsia" w:asciiTheme="minorEastAsia" w:hAnsiTheme="minorEastAsia"/>
                <w:color w:val="000000"/>
                <w:szCs w:val="21"/>
              </w:rPr>
              <w:t>7、</w:t>
            </w:r>
            <w:r>
              <w:rPr>
                <w:rFonts w:hint="eastAsia"/>
                <w:sz w:val="22"/>
              </w:rPr>
              <w:t>▲</w:t>
            </w:r>
            <w:r>
              <w:rPr>
                <w:rFonts w:hint="eastAsia" w:asciiTheme="minorEastAsia" w:hAnsiTheme="minorEastAsia"/>
                <w:color w:val="000000"/>
                <w:szCs w:val="21"/>
              </w:rPr>
              <w:t>面板：铝蜂窝镀锌纳米板，面板支持水性笔书写，可反复擦除。适用各种复杂环境（高海拔，高湿度），不起包</w:t>
            </w:r>
          </w:p>
          <w:p>
            <w:pPr>
              <w:jc w:val="left"/>
              <w:rPr>
                <w:rFonts w:asciiTheme="minorEastAsia" w:hAnsiTheme="minorEastAsia"/>
                <w:color w:val="000000"/>
                <w:szCs w:val="21"/>
              </w:rPr>
            </w:pPr>
            <w:r>
              <w:rPr>
                <w:rFonts w:hint="eastAsia" w:asciiTheme="minorEastAsia" w:hAnsiTheme="minorEastAsia"/>
                <w:color w:val="000000"/>
                <w:szCs w:val="21"/>
              </w:rPr>
              <w:t>8、</w:t>
            </w:r>
            <w:r>
              <w:rPr>
                <w:rFonts w:hint="eastAsia"/>
                <w:sz w:val="22"/>
              </w:rPr>
              <w:t>▲</w:t>
            </w:r>
            <w:r>
              <w:rPr>
                <w:rFonts w:hint="eastAsia" w:asciiTheme="minorEastAsia" w:hAnsiTheme="minorEastAsia"/>
                <w:color w:val="000000"/>
                <w:szCs w:val="21"/>
              </w:rPr>
              <w:t>智能控制：边框上直接加装L型投影机控制模块，方便控制投影机的开关及信号的切换。无需拆卸黑板和白板（选件，已预留孔位）</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4</w:t>
            </w:r>
          </w:p>
        </w:tc>
        <w:tc>
          <w:tcPr>
            <w:tcW w:w="718"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万向黑板</w:t>
            </w: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1、基本尺寸:≥4000mm×1245mm（尺寸及安装方式根据学校要求及现场环境定制）</w:t>
            </w:r>
          </w:p>
          <w:p>
            <w:pPr>
              <w:jc w:val="left"/>
              <w:rPr>
                <w:rFonts w:asciiTheme="minorEastAsia" w:hAnsiTheme="minorEastAsia"/>
                <w:color w:val="000000"/>
                <w:szCs w:val="21"/>
                <w:highlight w:val="yellow"/>
              </w:rPr>
            </w:pPr>
            <w:r>
              <w:rPr>
                <w:rFonts w:hint="eastAsia" w:asciiTheme="minorEastAsia" w:hAnsiTheme="minorEastAsia"/>
                <w:color w:val="000000"/>
                <w:szCs w:val="21"/>
              </w:rPr>
              <w:t>2、书写板面:面板为厚度为≥0.3mm的合资绿板，没有明显眩光，板面表面附有一层透明保护膜，符合GB 28231-2011《书写板安全卫生要求》。</w:t>
            </w:r>
          </w:p>
          <w:p>
            <w:pPr>
              <w:jc w:val="left"/>
              <w:rPr>
                <w:rFonts w:asciiTheme="minorEastAsia" w:hAnsiTheme="minorEastAsia"/>
                <w:color w:val="000000"/>
                <w:szCs w:val="21"/>
              </w:rPr>
            </w:pPr>
            <w:r>
              <w:rPr>
                <w:rFonts w:hint="eastAsia" w:asciiTheme="minorEastAsia" w:hAnsiTheme="minorEastAsia"/>
                <w:color w:val="000000"/>
                <w:szCs w:val="21"/>
              </w:rPr>
              <w:t>3、内芯材料:聚乙烯发泡板，厚度不小于14mm，密度不小于18kg/立方米，高强度、吸音、书写无吱咔声，改善书写手感</w:t>
            </w:r>
          </w:p>
          <w:p>
            <w:pPr>
              <w:jc w:val="left"/>
              <w:rPr>
                <w:rFonts w:asciiTheme="minorEastAsia" w:hAnsiTheme="minorEastAsia"/>
                <w:color w:val="000000"/>
                <w:szCs w:val="21"/>
              </w:rPr>
            </w:pPr>
            <w:r>
              <w:rPr>
                <w:rFonts w:hint="eastAsia" w:asciiTheme="minorEastAsia" w:hAnsiTheme="minorEastAsia"/>
                <w:color w:val="000000"/>
                <w:szCs w:val="21"/>
              </w:rPr>
              <w:t>4、背板采用:优质防锈热镀锌钢板，厚度≥0.22mm，整张镀锌板，不得拼接，确保均布承压不低于635N，镀锌含量Z12技术要求不低于国标GB2518-88</w:t>
            </w:r>
          </w:p>
          <w:p>
            <w:pPr>
              <w:jc w:val="left"/>
              <w:rPr>
                <w:rFonts w:asciiTheme="minorEastAsia" w:hAnsiTheme="minorEastAsia"/>
                <w:color w:val="000000"/>
                <w:szCs w:val="21"/>
              </w:rPr>
            </w:pPr>
            <w:r>
              <w:rPr>
                <w:rFonts w:hint="eastAsia" w:asciiTheme="minorEastAsia" w:hAnsiTheme="minorEastAsia"/>
                <w:color w:val="000000"/>
                <w:szCs w:val="21"/>
              </w:rPr>
              <w:t>5、胶水采用:环保型双组份聚氨酯胶水，确保粘接牢固板面平整。</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6、粉笔槽</w:t>
            </w:r>
            <w:r>
              <w:rPr>
                <w:rFonts w:hint="eastAsia" w:asciiTheme="minorEastAsia" w:hAnsiTheme="minorEastAsia"/>
                <w:color w:val="000000"/>
                <w:szCs w:val="21"/>
              </w:rPr>
              <w:tab/>
            </w:r>
            <w:r>
              <w:rPr>
                <w:rFonts w:hint="eastAsia" w:asciiTheme="minorEastAsia" w:hAnsiTheme="minorEastAsia"/>
                <w:color w:val="000000"/>
                <w:szCs w:val="21"/>
              </w:rPr>
              <w:t>:粉笔槽采用香槟色喷砂铝合金型材，与黑板下边框为整体一体化设计，而不需要拉铆钉或螺丝固定粉笔槽，从而使粉笔槽更加的牢固。</w:t>
            </w:r>
          </w:p>
          <w:p>
            <w:pPr>
              <w:jc w:val="left"/>
              <w:rPr>
                <w:rFonts w:asciiTheme="minorEastAsia" w:hAnsiTheme="minorEastAsia"/>
                <w:color w:val="000000"/>
                <w:szCs w:val="21"/>
              </w:rPr>
            </w:pPr>
            <w:r>
              <w:rPr>
                <w:rFonts w:hint="eastAsia" w:asciiTheme="minorEastAsia" w:hAnsiTheme="minorEastAsia"/>
                <w:color w:val="000000"/>
                <w:szCs w:val="21"/>
              </w:rPr>
              <w:t>7、书写板:边框采用香槟色喷砂铝合金型材，边框尺寸40mm*23mm*1.0mm（宽*厚*壁厚），硬度为HRC15度，铸锭状态有色金属达到行业标准YS67-93，化学成份达GB/T3190-96。耐磨性、耐腐蚀、尺寸允许偏差达到GB/T5237-2000高精品。</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8、传动装置:采用配重块平衡、铝合金滑轨及钢丝绳双滑轮组传动，不得采用链条传动，承重轮为尼龙轮，内嵌钢制轴承，钢丝绳采用3mm防锈无油钢丝绳，确保承重力；为防止跳槽，装有安全装置及防跳装置。</w:t>
            </w:r>
          </w:p>
          <w:p>
            <w:pPr>
              <w:jc w:val="left"/>
              <w:rPr>
                <w:rFonts w:asciiTheme="minorEastAsia" w:hAnsiTheme="minorEastAsia"/>
                <w:color w:val="000000"/>
                <w:szCs w:val="21"/>
              </w:rPr>
            </w:pPr>
            <w:r>
              <w:rPr>
                <w:rFonts w:hint="eastAsia" w:asciiTheme="minorEastAsia" w:hAnsiTheme="minorEastAsia"/>
                <w:color w:val="000000"/>
                <w:szCs w:val="21"/>
              </w:rPr>
              <w:t>9、上下升降幅度达到：450㎜</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10、横向推拉导轨：轨道壁厚≥2.4mm，中间预留空间为2000㎜（可按现场情况微调）"</w:t>
            </w:r>
          </w:p>
          <w:p>
            <w:pPr>
              <w:jc w:val="left"/>
              <w:rPr>
                <w:rFonts w:asciiTheme="minorEastAsia" w:hAnsiTheme="minorEastAsia"/>
                <w:color w:val="000000"/>
                <w:szCs w:val="21"/>
              </w:rPr>
            </w:pPr>
            <w:r>
              <w:rPr>
                <w:rFonts w:hint="eastAsia" w:asciiTheme="minorEastAsia" w:hAnsiTheme="minorEastAsia"/>
                <w:color w:val="000000"/>
                <w:szCs w:val="21"/>
              </w:rPr>
              <w:t>11、包角材料:采用抗老化高强度ABS工程塑料注塑成型。采用双壁成腔流线型设计，不小于R30mm的圆角，无尖角毛刺。</w:t>
            </w:r>
          </w:p>
          <w:p>
            <w:pPr>
              <w:jc w:val="left"/>
              <w:rPr>
                <w:rFonts w:asciiTheme="minorEastAsia" w:hAnsiTheme="minorEastAsia"/>
                <w:color w:val="000000"/>
                <w:szCs w:val="21"/>
              </w:rPr>
            </w:pPr>
            <w:r>
              <w:rPr>
                <w:rFonts w:hint="eastAsia" w:asciiTheme="minorEastAsia" w:hAnsiTheme="minorEastAsia"/>
                <w:color w:val="000000"/>
                <w:szCs w:val="21"/>
              </w:rPr>
              <w:t>12、安装:所有安装配件均为开模制作的标准件并作电镀锌防锈处理，采用隐型安装，安装后无任何可见安装件，使整体更为美观</w:t>
            </w:r>
          </w:p>
          <w:p>
            <w:pPr>
              <w:jc w:val="left"/>
              <w:rPr>
                <w:rFonts w:asciiTheme="minorEastAsia" w:hAnsiTheme="minorEastAsia"/>
                <w:color w:val="000000"/>
                <w:szCs w:val="21"/>
              </w:rPr>
            </w:pPr>
            <w:r>
              <w:rPr>
                <w:rFonts w:hint="eastAsia" w:asciiTheme="minorEastAsia" w:hAnsiTheme="minorEastAsia"/>
                <w:color w:val="000000"/>
                <w:szCs w:val="21"/>
              </w:rPr>
              <w:t>13、外观:外框采用喷砂铝型材，有直射光时无反光，面板无损伤，无纵向的棱型，铝合金无划伤，无色差，平面板平整。</w:t>
            </w:r>
          </w:p>
          <w:p>
            <w:pPr>
              <w:jc w:val="left"/>
              <w:rPr>
                <w:rFonts w:asciiTheme="minorEastAsia" w:hAnsiTheme="minorEastAsia"/>
                <w:color w:val="000000"/>
                <w:szCs w:val="21"/>
              </w:rPr>
            </w:pPr>
            <w:r>
              <w:rPr>
                <w:rFonts w:hint="eastAsia" w:asciiTheme="minorEastAsia" w:hAnsiTheme="minorEastAsia"/>
                <w:color w:val="000000"/>
                <w:szCs w:val="21"/>
              </w:rPr>
              <w:t>14、提供投标货物的生产厂家的ISO9000系列质量体系认证证明、提供投标货物的生产厂家的ISO14001环境管理体系认证证明、提供投标货物的生产厂家的ISO18001职业健康安全管理体系认证证书。</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 xml:space="preserve">15、提供质量检测单位出具的万向移动书写板抽样检测报告。             </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5</w:t>
            </w:r>
          </w:p>
        </w:tc>
        <w:tc>
          <w:tcPr>
            <w:tcW w:w="718"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智能融合信息终端</w:t>
            </w: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 xml:space="preserve">1、标准1U机架式设计, 适合安装于各类型机柜之中；支持远程开关机；通过WEB端登陆设备IP地址后可以直接进行修改配置及编写控制代码。 </w:t>
            </w:r>
          </w:p>
          <w:p>
            <w:pPr>
              <w:jc w:val="left"/>
              <w:rPr>
                <w:rFonts w:asciiTheme="minorEastAsia" w:hAnsiTheme="minorEastAsia"/>
                <w:color w:val="000000"/>
                <w:szCs w:val="21"/>
              </w:rPr>
            </w:pPr>
            <w:r>
              <w:rPr>
                <w:rFonts w:hint="eastAsia" w:asciiTheme="minorEastAsia" w:hAnsiTheme="minorEastAsia"/>
                <w:color w:val="000000"/>
                <w:szCs w:val="21"/>
              </w:rPr>
              <w:t>2、终端主板采用工业级高速700M主频嵌入式MIPS CPU,定制LINUX操作系统内核。设备集成广播音视频解码模块，配合融合平台软件设备直接实现本终端的IP数字广播、高清（1920*1080P）视频的实时接收、解码及播放,可实现手动或者定时设定上课铃、下课铃等信号铃声、可实现所有教室播放同一音视频资源，及依据教学需求，不同教室播放独立教学音视频资源。</w:t>
            </w:r>
          </w:p>
          <w:p>
            <w:pPr>
              <w:jc w:val="left"/>
              <w:rPr>
                <w:rFonts w:asciiTheme="minorEastAsia" w:hAnsiTheme="minorEastAsia"/>
                <w:color w:val="000000"/>
                <w:szCs w:val="21"/>
                <w:highlight w:val="yellow"/>
              </w:rPr>
            </w:pPr>
            <w:r>
              <w:rPr>
                <w:rFonts w:hint="eastAsia" w:asciiTheme="minorEastAsia" w:hAnsiTheme="minorEastAsia"/>
                <w:color w:val="000000"/>
                <w:szCs w:val="21"/>
              </w:rPr>
              <w:t>3、板载集成10M/100M/1000M RJ45 6口千兆网络交换机，支持4路VLAN划分，本机集成80W*2（40W*4）数字智能功放。2路3.5mm接口音频输入,1路3.5mm音频线性输出；2路带幻象供电的手持或桌面麦克输入，本机具备无线麦克风接收器，可升级DSP音频处理模块（动态自适应消除环境噪声，增强拾音及自动实时消除回声啸叫），通过软件可实时调整设备参数.</w:t>
            </w:r>
          </w:p>
          <w:p>
            <w:pPr>
              <w:jc w:val="left"/>
              <w:rPr>
                <w:rFonts w:asciiTheme="minorEastAsia" w:hAnsiTheme="minorEastAsia"/>
                <w:color w:val="000000"/>
                <w:szCs w:val="21"/>
              </w:rPr>
            </w:pPr>
            <w:r>
              <w:rPr>
                <w:rFonts w:hint="eastAsia" w:asciiTheme="minorEastAsia" w:hAnsiTheme="minorEastAsia"/>
                <w:color w:val="000000"/>
                <w:szCs w:val="21"/>
              </w:rPr>
              <w:t>4、内置集成3*2 HDMI高清音视频交叉矩阵芯片，支持2路全高清（1920*1080p）网络视频解码信号输出，其中输入信号支持1路HDMI高清接口，1路VGA转HDMI输入，输出信号支持2路HDMI高清接口，1路具备HDBaseT 传输协议的高清接口，电子时钟等外接扩展通信设备），1路磁控锁控制输出。</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5、可接入14键按键式物联控制面板或5英寸液晶触控一体化面板，面板集成物联协议，并支持对无线外接电源模块的智能管理，可根据时间通过平台软件自动执行电源模块所连接设备的开启与关闭、禁用与启用等策略，实现智能校园的统一管控。</w:t>
            </w:r>
          </w:p>
          <w:p>
            <w:pPr>
              <w:jc w:val="left"/>
              <w:rPr>
                <w:rFonts w:asciiTheme="minorEastAsia" w:hAnsiTheme="minorEastAsia"/>
                <w:color w:val="000000"/>
                <w:szCs w:val="21"/>
              </w:rPr>
            </w:pPr>
            <w:r>
              <w:rPr>
                <w:rFonts w:hint="eastAsia" w:asciiTheme="minorEastAsia" w:hAnsiTheme="minorEastAsia"/>
                <w:color w:val="000000"/>
                <w:szCs w:val="21"/>
              </w:rPr>
              <w:t>6、在同网段和跨网段进行可视化远程控制和集中管理（如教室电脑、投影机、展台、屏蔽仪、扩展设备电源等）。</w:t>
            </w:r>
          </w:p>
          <w:p>
            <w:pPr>
              <w:jc w:val="left"/>
              <w:rPr>
                <w:rFonts w:asciiTheme="minorEastAsia" w:hAnsiTheme="minorEastAsia"/>
                <w:color w:val="000000"/>
                <w:szCs w:val="21"/>
              </w:rPr>
            </w:pPr>
            <w:r>
              <w:rPr>
                <w:rFonts w:hint="eastAsia" w:asciiTheme="minorEastAsia" w:hAnsiTheme="minorEastAsia"/>
                <w:color w:val="000000"/>
                <w:szCs w:val="21"/>
              </w:rPr>
              <w:t>7、支持对幕布、投影及其它教室多媒体设备供电管理。</w:t>
            </w:r>
          </w:p>
          <w:p>
            <w:pPr>
              <w:jc w:val="left"/>
              <w:rPr>
                <w:rFonts w:asciiTheme="minorEastAsia" w:hAnsiTheme="minorEastAsia"/>
                <w:color w:val="000000"/>
                <w:szCs w:val="21"/>
              </w:rPr>
            </w:pPr>
            <w:r>
              <w:rPr>
                <w:rFonts w:hint="eastAsia" w:asciiTheme="minorEastAsia" w:hAnsiTheme="minorEastAsia"/>
                <w:color w:val="000000"/>
                <w:szCs w:val="21"/>
              </w:rPr>
              <w:t>8、终端自带精密能耗计量芯片，可精确统计连接设备（如投影机、平板及外接物联设备）的能耗及使用时长。如：投影灯的使用时间、日志、精确能耗等，并可远程安装所有串口设备（如投影机）控制码。</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9、支持本地控制，管理教室电脑、投影机、展台、无线（有线）麦克风、无线（有线）扩展电源模块等；通过平台软件及微信小程序可远程对终端设备及所物联的无线电源模块进行定时集控管理（设备开机、关机、开电、关电、禁用、启用等）。</w:t>
            </w:r>
          </w:p>
          <w:p>
            <w:pPr>
              <w:jc w:val="left"/>
              <w:rPr>
                <w:rFonts w:asciiTheme="minorEastAsia" w:hAnsiTheme="minorEastAsia"/>
                <w:color w:val="000000"/>
                <w:szCs w:val="21"/>
              </w:rPr>
            </w:pPr>
            <w:r>
              <w:rPr>
                <w:rFonts w:hint="eastAsia"/>
                <w:color w:val="000000"/>
                <w:szCs w:val="21"/>
              </w:rPr>
              <w:t>▲</w:t>
            </w:r>
            <w:r>
              <w:rPr>
                <w:rFonts w:hint="eastAsia" w:asciiTheme="minorEastAsia" w:hAnsiTheme="minorEastAsia"/>
                <w:color w:val="000000"/>
                <w:szCs w:val="21"/>
              </w:rPr>
              <w:t>10、相关资质：原厂有效的ISO9001、ISO14001证书、3C证书。</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6</w:t>
            </w:r>
          </w:p>
        </w:tc>
        <w:tc>
          <w:tcPr>
            <w:tcW w:w="718"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IP对讲触控面板</w:t>
            </w: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1、外壳采用工程塑料一次成型，采用隐藏式安装和走线，桌面整洁美观；</w:t>
            </w:r>
          </w:p>
          <w:p>
            <w:pPr>
              <w:jc w:val="left"/>
              <w:rPr>
                <w:rFonts w:asciiTheme="minorEastAsia" w:hAnsiTheme="minorEastAsia"/>
                <w:color w:val="000000"/>
                <w:szCs w:val="21"/>
              </w:rPr>
            </w:pPr>
            <w:r>
              <w:rPr>
                <w:rFonts w:hint="eastAsia" w:asciiTheme="minorEastAsia" w:hAnsiTheme="minorEastAsia"/>
                <w:color w:val="000000"/>
                <w:szCs w:val="21"/>
              </w:rPr>
              <w:t>2、高分辨率5英寸工业触摸屏，四个常用触摸按键，可根据设备组成情况定制触摸控制内容及设备；</w:t>
            </w:r>
          </w:p>
          <w:p>
            <w:pPr>
              <w:jc w:val="left"/>
              <w:rPr>
                <w:rFonts w:asciiTheme="minorEastAsia" w:hAnsiTheme="minorEastAsia"/>
                <w:color w:val="000000"/>
                <w:szCs w:val="21"/>
              </w:rPr>
            </w:pPr>
            <w:r>
              <w:rPr>
                <w:rFonts w:hint="eastAsia" w:asciiTheme="minorEastAsia" w:hAnsiTheme="minorEastAsia"/>
                <w:color w:val="000000"/>
                <w:szCs w:val="21"/>
              </w:rPr>
              <w:t>3、集成最新一代IC卡读卡器，支持插卡或者刷卡两种开机模式；</w:t>
            </w:r>
          </w:p>
          <w:p>
            <w:pPr>
              <w:jc w:val="left"/>
              <w:rPr>
                <w:rFonts w:asciiTheme="minorEastAsia" w:hAnsiTheme="minorEastAsia"/>
                <w:color w:val="000000"/>
                <w:szCs w:val="21"/>
              </w:rPr>
            </w:pPr>
            <w:r>
              <w:rPr>
                <w:rFonts w:hint="eastAsia" w:asciiTheme="minorEastAsia" w:hAnsiTheme="minorEastAsia"/>
                <w:color w:val="000000"/>
                <w:szCs w:val="21"/>
              </w:rPr>
              <w:t>4、触控面板集成音频编码功能，配合软件支撑平台可直接实现远程IP对讲电话；</w:t>
            </w:r>
          </w:p>
          <w:p>
            <w:pPr>
              <w:jc w:val="left"/>
              <w:rPr>
                <w:rFonts w:asciiTheme="minorEastAsia" w:hAnsiTheme="minorEastAsia"/>
                <w:color w:val="000000"/>
                <w:szCs w:val="21"/>
              </w:rPr>
            </w:pPr>
            <w:r>
              <w:rPr>
                <w:rFonts w:hint="eastAsia" w:asciiTheme="minorEastAsia" w:hAnsiTheme="minorEastAsia"/>
                <w:color w:val="000000"/>
                <w:szCs w:val="21"/>
              </w:rPr>
              <w:t>5、与智能融合终端配套使用。</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7</w:t>
            </w:r>
          </w:p>
        </w:tc>
        <w:tc>
          <w:tcPr>
            <w:tcW w:w="718" w:type="dxa"/>
            <w:shd w:val="clear" w:color="auto" w:fill="auto"/>
            <w:vAlign w:val="center"/>
          </w:tcPr>
          <w:p>
            <w:pPr>
              <w:jc w:val="center"/>
              <w:rPr>
                <w:rFonts w:asciiTheme="minorEastAsia" w:hAnsiTheme="minorEastAsia"/>
                <w:color w:val="000000"/>
                <w:szCs w:val="21"/>
              </w:rPr>
            </w:pPr>
            <w:r>
              <w:rPr>
                <w:rFonts w:hint="eastAsia"/>
              </w:rPr>
              <w:t>高清音箱</w:t>
            </w:r>
          </w:p>
        </w:tc>
        <w:tc>
          <w:tcPr>
            <w:tcW w:w="2852" w:type="dxa"/>
            <w:shd w:val="clear" w:color="auto" w:fill="auto"/>
          </w:tcPr>
          <w:p>
            <w:pPr>
              <w:jc w:val="left"/>
              <w:rPr>
                <w:rFonts w:asciiTheme="minorEastAsia" w:hAnsiTheme="minorEastAsia"/>
                <w:color w:val="000000"/>
                <w:szCs w:val="21"/>
              </w:rPr>
            </w:pPr>
            <w:r>
              <w:rPr>
                <w:rFonts w:hint="eastAsia" w:asciiTheme="minorEastAsia" w:hAnsiTheme="minorEastAsia"/>
                <w:color w:val="000000"/>
                <w:szCs w:val="21"/>
              </w:rPr>
              <w:t>1、室内壁挂式安装，角度可调节；</w:t>
            </w:r>
          </w:p>
          <w:p>
            <w:pPr>
              <w:jc w:val="left"/>
              <w:rPr>
                <w:rFonts w:asciiTheme="minorEastAsia" w:hAnsiTheme="minorEastAsia"/>
                <w:color w:val="000000"/>
                <w:szCs w:val="21"/>
              </w:rPr>
            </w:pPr>
            <w:r>
              <w:rPr>
                <w:rFonts w:hint="eastAsia" w:asciiTheme="minorEastAsia" w:hAnsiTheme="minorEastAsia"/>
                <w:color w:val="000000"/>
                <w:szCs w:val="21"/>
              </w:rPr>
              <w:t>2、高强度工程环保塑料一次注塑成形；</w:t>
            </w:r>
          </w:p>
          <w:p>
            <w:pPr>
              <w:jc w:val="left"/>
              <w:rPr>
                <w:rFonts w:asciiTheme="minorEastAsia" w:hAnsiTheme="minorEastAsia"/>
                <w:color w:val="000000"/>
                <w:szCs w:val="21"/>
              </w:rPr>
            </w:pPr>
            <w:r>
              <w:rPr>
                <w:rFonts w:hint="eastAsia" w:asciiTheme="minorEastAsia" w:hAnsiTheme="minorEastAsia"/>
                <w:color w:val="000000"/>
                <w:szCs w:val="21"/>
              </w:rPr>
              <w:t>3、具备号角式结构设计，在同等声压下可输出更大动态范围；</w:t>
            </w:r>
          </w:p>
          <w:p>
            <w:pPr>
              <w:jc w:val="left"/>
              <w:rPr>
                <w:rFonts w:asciiTheme="minorEastAsia" w:hAnsiTheme="minorEastAsia"/>
                <w:color w:val="000000"/>
                <w:szCs w:val="21"/>
              </w:rPr>
            </w:pPr>
            <w:r>
              <w:rPr>
                <w:rFonts w:hint="eastAsia" w:asciiTheme="minorEastAsia" w:hAnsiTheme="minorEastAsia"/>
                <w:color w:val="000000"/>
                <w:szCs w:val="21"/>
              </w:rPr>
              <w:t>4、内置4×6寸的专业定制低音单元，94mm球顶高音单元；</w:t>
            </w:r>
          </w:p>
          <w:p>
            <w:pPr>
              <w:jc w:val="left"/>
              <w:rPr>
                <w:rFonts w:asciiTheme="minorEastAsia" w:hAnsiTheme="minorEastAsia"/>
                <w:color w:val="000000"/>
                <w:szCs w:val="21"/>
              </w:rPr>
            </w:pPr>
            <w:r>
              <w:rPr>
                <w:rFonts w:hint="eastAsia" w:asciiTheme="minorEastAsia" w:hAnsiTheme="minorEastAsia"/>
                <w:color w:val="000000"/>
                <w:szCs w:val="21"/>
              </w:rPr>
              <w:t xml:space="preserve">5、音乐功率：50-100W； </w:t>
            </w:r>
          </w:p>
          <w:p>
            <w:pPr>
              <w:jc w:val="left"/>
              <w:rPr>
                <w:rFonts w:asciiTheme="minorEastAsia" w:hAnsiTheme="minorEastAsia"/>
                <w:color w:val="000000"/>
                <w:szCs w:val="21"/>
              </w:rPr>
            </w:pPr>
            <w:r>
              <w:rPr>
                <w:rFonts w:hint="eastAsia" w:asciiTheme="minorEastAsia" w:hAnsiTheme="minorEastAsia"/>
                <w:color w:val="000000"/>
                <w:szCs w:val="21"/>
              </w:rPr>
              <w:t>6、总谐波失真：低音喇叭＜5% ，高音喇叭＜3%；</w:t>
            </w:r>
          </w:p>
          <w:p>
            <w:pPr>
              <w:jc w:val="left"/>
              <w:rPr>
                <w:rFonts w:asciiTheme="minorEastAsia" w:hAnsiTheme="minorEastAsia"/>
                <w:color w:val="000000"/>
                <w:szCs w:val="21"/>
              </w:rPr>
            </w:pPr>
            <w:r>
              <w:rPr>
                <w:rFonts w:hint="eastAsia" w:asciiTheme="minorEastAsia" w:hAnsiTheme="minorEastAsia"/>
                <w:color w:val="000000"/>
                <w:szCs w:val="21"/>
              </w:rPr>
              <w:t>7、灵敏度：90±3dB；</w:t>
            </w:r>
          </w:p>
          <w:p>
            <w:pPr>
              <w:jc w:val="left"/>
              <w:rPr>
                <w:rFonts w:asciiTheme="minorEastAsia" w:hAnsiTheme="minorEastAsia"/>
                <w:color w:val="000000"/>
                <w:szCs w:val="21"/>
              </w:rPr>
            </w:pPr>
            <w:r>
              <w:rPr>
                <w:rFonts w:hint="eastAsia" w:asciiTheme="minorEastAsia" w:hAnsiTheme="minorEastAsia"/>
                <w:color w:val="000000"/>
                <w:szCs w:val="21"/>
              </w:rPr>
              <w:t>8、外观尺寸：440*175*216mm。</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8</w:t>
            </w:r>
          </w:p>
        </w:tc>
        <w:tc>
          <w:tcPr>
            <w:tcW w:w="718" w:type="dxa"/>
            <w:shd w:val="clear" w:color="auto" w:fill="auto"/>
            <w:vAlign w:val="center"/>
          </w:tcPr>
          <w:p>
            <w:pPr>
              <w:jc w:val="center"/>
              <w:rPr>
                <w:color w:val="000000"/>
                <w:szCs w:val="21"/>
              </w:rPr>
            </w:pPr>
            <w:r>
              <w:rPr>
                <w:rFonts w:hint="eastAsia"/>
                <w:szCs w:val="21"/>
              </w:rPr>
              <w:t>2.4G无线麦克风</w:t>
            </w:r>
          </w:p>
        </w:tc>
        <w:tc>
          <w:tcPr>
            <w:tcW w:w="2852" w:type="dxa"/>
            <w:shd w:val="clear" w:color="auto" w:fill="auto"/>
          </w:tcPr>
          <w:p>
            <w:pPr>
              <w:jc w:val="left"/>
              <w:rPr>
                <w:rFonts w:asciiTheme="majorEastAsia" w:hAnsiTheme="majorEastAsia" w:eastAsiaTheme="majorEastAsia"/>
                <w:snapToGrid w:val="0"/>
                <w:color w:val="000000"/>
                <w:szCs w:val="21"/>
              </w:rPr>
            </w:pPr>
            <w:r>
              <w:rPr>
                <w:rFonts w:hint="eastAsia"/>
                <w:szCs w:val="21"/>
              </w:rPr>
              <w:t>1、 采用音频实时编解码专利技术，在48K采样频率情况下，保证音质的高保真、外壳采用高强度工程环保塑料一次注塑成形；</w:t>
            </w:r>
            <w:r>
              <w:rPr>
                <w:rFonts w:hint="eastAsia"/>
                <w:szCs w:val="21"/>
              </w:rPr>
              <w:br w:type="textWrapping"/>
            </w:r>
            <w:r>
              <w:rPr>
                <w:rFonts w:hint="eastAsia"/>
                <w:szCs w:val="21"/>
              </w:rPr>
              <w:t>2、 内置充电电池，支持本地音量调节及音量记忆，无外露天线低功耗设计，电磁辐射密度小于30uw/cm2，工作在2.4GHz；　</w:t>
            </w:r>
            <w:r>
              <w:rPr>
                <w:rFonts w:hint="eastAsia"/>
                <w:szCs w:val="21"/>
              </w:rPr>
              <w:br w:type="textWrapping"/>
            </w:r>
            <w:r>
              <w:rPr>
                <w:rFonts w:hint="eastAsia"/>
                <w:szCs w:val="21"/>
              </w:rPr>
              <w:t>3、 ISM频段，频率范围：2400 ~ 2483.5MHz.选取128个channel， 每个channel的频带带宽为500KHZ， 对应0～127个频点；</w:t>
            </w:r>
            <w:r>
              <w:rPr>
                <w:rFonts w:hint="eastAsia"/>
                <w:szCs w:val="21"/>
              </w:rPr>
              <w:br w:type="textWrapping"/>
            </w:r>
            <w:r>
              <w:rPr>
                <w:rFonts w:hint="eastAsia"/>
                <w:szCs w:val="21"/>
              </w:rPr>
              <w:t>4、 -85dBm的接收灵敏度，45dB的邻道抑制，30dB的镜像抑制；</w:t>
            </w:r>
            <w:r>
              <w:rPr>
                <w:rFonts w:hint="eastAsia"/>
                <w:szCs w:val="21"/>
              </w:rPr>
              <w:br w:type="textWrapping"/>
            </w:r>
            <w:r>
              <w:rPr>
                <w:rFonts w:hint="eastAsia"/>
                <w:szCs w:val="21"/>
              </w:rPr>
              <w:t>5、 有效接收距离不低于20米（开阔无障碍物，接收与发射处于静止状态下测试结果）背景噪音：无；</w:t>
            </w:r>
            <w:r>
              <w:rPr>
                <w:rFonts w:hint="eastAsia"/>
                <w:szCs w:val="21"/>
              </w:rPr>
              <w:br w:type="textWrapping"/>
            </w:r>
            <w:r>
              <w:rPr>
                <w:rFonts w:hint="eastAsia"/>
                <w:szCs w:val="21"/>
              </w:rPr>
              <w:t>6、 支持点对多点的动态接入方式。采用动态跳频和协议对码的方式，无线麦克风可接入到任何一个具有接收模块的设备中。对频后依据自有协议双方采用动态协商及实时跳频方式进行通信，避免多个设备同时使用时相互串扰；</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9</w:t>
            </w:r>
          </w:p>
        </w:tc>
        <w:tc>
          <w:tcPr>
            <w:tcW w:w="718" w:type="dxa"/>
            <w:shd w:val="clear" w:color="auto" w:fill="auto"/>
            <w:vAlign w:val="center"/>
          </w:tcPr>
          <w:p>
            <w:pPr>
              <w:jc w:val="center"/>
              <w:rPr>
                <w:szCs w:val="21"/>
              </w:rPr>
            </w:pPr>
            <w:r>
              <w:rPr>
                <w:rFonts w:hint="eastAsia"/>
                <w:szCs w:val="21"/>
              </w:rPr>
              <w:t>一体机移动支架</w:t>
            </w:r>
          </w:p>
        </w:tc>
        <w:tc>
          <w:tcPr>
            <w:tcW w:w="2852" w:type="dxa"/>
            <w:shd w:val="clear" w:color="auto" w:fill="auto"/>
            <w:vAlign w:val="center"/>
          </w:tcPr>
          <w:p>
            <w:pPr>
              <w:rPr>
                <w:szCs w:val="21"/>
              </w:rPr>
            </w:pPr>
            <w:r>
              <w:rPr>
                <w:rFonts w:hint="eastAsia"/>
                <w:szCs w:val="21"/>
              </w:rPr>
              <w:t>移动推车触摸屏一体机落地移动挂架(86英寸)</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10</w:t>
            </w:r>
          </w:p>
        </w:tc>
        <w:tc>
          <w:tcPr>
            <w:tcW w:w="718" w:type="dxa"/>
            <w:shd w:val="clear" w:color="auto" w:fill="auto"/>
            <w:vAlign w:val="center"/>
          </w:tcPr>
          <w:p>
            <w:pPr>
              <w:jc w:val="center"/>
              <w:rPr>
                <w:szCs w:val="21"/>
              </w:rPr>
            </w:pPr>
            <w:r>
              <w:rPr>
                <w:rFonts w:hint="eastAsia"/>
                <w:szCs w:val="21"/>
              </w:rPr>
              <w:t>移动</w:t>
            </w:r>
            <w:r>
              <w:rPr>
                <w:rFonts w:hint="eastAsia"/>
                <w:bCs/>
                <w:szCs w:val="21"/>
              </w:rPr>
              <w:t>翻转黑板</w:t>
            </w:r>
          </w:p>
        </w:tc>
        <w:tc>
          <w:tcPr>
            <w:tcW w:w="2852" w:type="dxa"/>
            <w:shd w:val="clear" w:color="auto" w:fill="auto"/>
          </w:tcPr>
          <w:p>
            <w:pPr>
              <w:jc w:val="left"/>
              <w:rPr>
                <w:szCs w:val="21"/>
              </w:rPr>
            </w:pPr>
            <w:r>
              <w:rPr>
                <w:rFonts w:hint="eastAsia"/>
                <w:szCs w:val="21"/>
              </w:rPr>
              <w:t>1、规格：1800mm*1000mm（尺寸可按学校要求定制）</w:t>
            </w:r>
          </w:p>
          <w:p>
            <w:pPr>
              <w:jc w:val="left"/>
              <w:rPr>
                <w:szCs w:val="21"/>
              </w:rPr>
            </w:pPr>
            <w:r>
              <w:rPr>
                <w:rFonts w:hint="eastAsia"/>
                <w:szCs w:val="21"/>
              </w:rPr>
              <w:t>2、外观：颜色为香槟色，封堵为流线型，托板为活动式的，可以自由活动，使用大手轮，</w:t>
            </w:r>
          </w:p>
          <w:p>
            <w:pPr>
              <w:jc w:val="left"/>
              <w:rPr>
                <w:szCs w:val="21"/>
              </w:rPr>
            </w:pPr>
            <w:r>
              <w:rPr>
                <w:rFonts w:hint="eastAsia"/>
                <w:szCs w:val="21"/>
              </w:rPr>
              <w:t>3、结构翻转轴的位置和锁紧手轮的位置定在一起，上横梁为方管，承重的同时可以自由拆装托板。采用的单手轮，</w:t>
            </w:r>
          </w:p>
          <w:p>
            <w:pPr>
              <w:jc w:val="left"/>
              <w:rPr>
                <w:szCs w:val="21"/>
              </w:rPr>
            </w:pPr>
            <w:r>
              <w:rPr>
                <w:rFonts w:hint="eastAsia"/>
                <w:szCs w:val="21"/>
              </w:rPr>
              <w:t>4、功能翻转板可以旋转到任意角度锁紧。</w:t>
            </w:r>
          </w:p>
          <w:p>
            <w:pPr>
              <w:jc w:val="left"/>
              <w:rPr>
                <w:szCs w:val="21"/>
              </w:rPr>
            </w:pPr>
            <w:r>
              <w:rPr>
                <w:rFonts w:hint="eastAsia"/>
                <w:szCs w:val="21"/>
              </w:rPr>
              <w:t>5、手轮的材料为胶木手轮。托板的材料为了使得托板具有足够的的承重能力采用1.0mm厚的钢板。</w:t>
            </w:r>
          </w:p>
          <w:p>
            <w:pPr>
              <w:jc w:val="left"/>
              <w:rPr>
                <w:szCs w:val="21"/>
              </w:rPr>
            </w:pPr>
            <w:r>
              <w:rPr>
                <w:rFonts w:hint="eastAsia"/>
                <w:szCs w:val="21"/>
              </w:rPr>
              <w:t>6、面板为双面使用结构，墨绿色、亚光，厚度≥0.3mm，漆膜硬度6H，粗糙度Ra1.6-3.2um，光泽度≤6﹪，没有明显眩光，板面表面附有一层透明保护膜，符合GB 28231-2011《书写板安全卫生要求》。</w:t>
            </w:r>
          </w:p>
          <w:p>
            <w:pPr>
              <w:jc w:val="left"/>
              <w:rPr>
                <w:szCs w:val="21"/>
              </w:rPr>
            </w:pPr>
            <w:r>
              <w:rPr>
                <w:rFonts w:hint="eastAsia"/>
                <w:szCs w:val="21"/>
              </w:rPr>
              <w:t>7、背板采用优质防锈热镀锌钢板，厚度≥0.22mm，整张镀锌板，不得拼接，确保均布承压不低于635N，镀锌含量Z12技术要求不低于国标GB2518-88</w:t>
            </w:r>
          </w:p>
          <w:p>
            <w:pPr>
              <w:jc w:val="left"/>
              <w:rPr>
                <w:szCs w:val="21"/>
              </w:rPr>
            </w:pPr>
            <w:r>
              <w:rPr>
                <w:rFonts w:hint="eastAsia"/>
                <w:szCs w:val="21"/>
              </w:rPr>
              <w:t>8、衬板采用聚乙烯发泡板，厚度不小于9mm，密度不小于18kg/立方米，高强度、吸音、书写无吱咔声，改善书写手感</w:t>
            </w:r>
          </w:p>
          <w:p>
            <w:pPr>
              <w:jc w:val="left"/>
              <w:rPr>
                <w:szCs w:val="21"/>
              </w:rPr>
            </w:pPr>
            <w:r>
              <w:rPr>
                <w:rFonts w:hint="eastAsia"/>
                <w:szCs w:val="21"/>
              </w:rPr>
              <w:t>9、粘胶材料采用防腐、防锈、防潮的黑板专用粘胶漆，胶合牢固、经久耐用，永不脱壳，各项指标均达到国家环保要求。</w:t>
            </w:r>
          </w:p>
          <w:p>
            <w:pPr>
              <w:jc w:val="left"/>
              <w:rPr>
                <w:szCs w:val="21"/>
              </w:rPr>
            </w:pPr>
            <w:r>
              <w:rPr>
                <w:rFonts w:hint="eastAsia"/>
                <w:szCs w:val="21"/>
              </w:rPr>
              <w:t>10、边框采用香槟色喷砂铝合金型材，边框尺寸宽为：30㎜×23㎜×1.2㎜（壁厚）</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11</w:t>
            </w:r>
          </w:p>
        </w:tc>
        <w:tc>
          <w:tcPr>
            <w:tcW w:w="718" w:type="dxa"/>
            <w:shd w:val="clear" w:color="auto" w:fill="auto"/>
            <w:vAlign w:val="center"/>
          </w:tcPr>
          <w:p>
            <w:pPr>
              <w:jc w:val="center"/>
              <w:rPr>
                <w:szCs w:val="21"/>
              </w:rPr>
            </w:pPr>
            <w:r>
              <w:rPr>
                <w:rFonts w:hint="eastAsia"/>
                <w:color w:val="000000"/>
                <w:szCs w:val="21"/>
              </w:rPr>
              <w:t>高保真全频线性阵列音柱（主扩声）</w:t>
            </w:r>
          </w:p>
        </w:tc>
        <w:tc>
          <w:tcPr>
            <w:tcW w:w="2852" w:type="dxa"/>
            <w:shd w:val="clear" w:color="auto" w:fill="auto"/>
          </w:tcPr>
          <w:p>
            <w:pPr>
              <w:jc w:val="left"/>
              <w:rPr>
                <w:szCs w:val="21"/>
              </w:rPr>
            </w:pPr>
            <w:r>
              <w:rPr>
                <w:rFonts w:hint="eastAsia"/>
                <w:szCs w:val="21"/>
              </w:rPr>
              <w:t>1.高保真全频线性阵列音柱</w:t>
            </w:r>
          </w:p>
          <w:p>
            <w:pPr>
              <w:jc w:val="left"/>
              <w:rPr>
                <w:szCs w:val="21"/>
              </w:rPr>
            </w:pPr>
            <w:r>
              <w:rPr>
                <w:rFonts w:hint="eastAsia"/>
                <w:szCs w:val="21"/>
              </w:rPr>
              <w:t>2.▲不少于6个 3" 全频扬声器</w:t>
            </w:r>
          </w:p>
          <w:p>
            <w:pPr>
              <w:jc w:val="left"/>
              <w:rPr>
                <w:szCs w:val="21"/>
              </w:rPr>
            </w:pPr>
            <w:r>
              <w:rPr>
                <w:rFonts w:hint="eastAsia"/>
                <w:szCs w:val="21"/>
              </w:rPr>
              <w:t>3.阻抗 :16Ω</w:t>
            </w:r>
          </w:p>
          <w:p>
            <w:pPr>
              <w:jc w:val="left"/>
              <w:rPr>
                <w:szCs w:val="21"/>
              </w:rPr>
            </w:pPr>
            <w:r>
              <w:rPr>
                <w:rFonts w:hint="eastAsia"/>
                <w:szCs w:val="21"/>
              </w:rPr>
              <w:t>4.▲额定功率不低于120W</w:t>
            </w:r>
          </w:p>
          <w:p>
            <w:pPr>
              <w:jc w:val="left"/>
              <w:rPr>
                <w:szCs w:val="21"/>
              </w:rPr>
            </w:pPr>
            <w:r>
              <w:rPr>
                <w:rFonts w:hint="eastAsia"/>
                <w:szCs w:val="21"/>
              </w:rPr>
              <w:t>5.频率范围(±3dB): 150Hz-17KHz</w:t>
            </w:r>
          </w:p>
          <w:p>
            <w:pPr>
              <w:jc w:val="left"/>
              <w:rPr>
                <w:szCs w:val="21"/>
              </w:rPr>
            </w:pPr>
            <w:r>
              <w:rPr>
                <w:rFonts w:hint="eastAsia"/>
                <w:szCs w:val="21"/>
              </w:rPr>
              <w:t>6.▲灵敏度(1M/1W) :95dB</w:t>
            </w:r>
          </w:p>
          <w:p>
            <w:pPr>
              <w:jc w:val="left"/>
              <w:rPr>
                <w:szCs w:val="21"/>
              </w:rPr>
            </w:pPr>
            <w:r>
              <w:rPr>
                <w:rFonts w:hint="eastAsia"/>
                <w:szCs w:val="21"/>
              </w:rPr>
              <w:t>7.▲最大声压级: 123dB 峰值</w:t>
            </w:r>
          </w:p>
          <w:p>
            <w:pPr>
              <w:jc w:val="left"/>
              <w:rPr>
                <w:szCs w:val="21"/>
              </w:rPr>
            </w:pPr>
            <w:r>
              <w:rPr>
                <w:rFonts w:hint="eastAsia"/>
                <w:szCs w:val="21"/>
              </w:rPr>
              <w:t>8.扩散角: 100° Hx 20° V</w:t>
            </w:r>
          </w:p>
          <w:p>
            <w:pPr>
              <w:jc w:val="left"/>
              <w:rPr>
                <w:szCs w:val="21"/>
              </w:rPr>
            </w:pPr>
            <w:r>
              <w:rPr>
                <w:rFonts w:hint="eastAsia"/>
                <w:szCs w:val="21"/>
              </w:rPr>
              <w:t>9.箱体材质 :铝合金</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12</w:t>
            </w:r>
          </w:p>
        </w:tc>
        <w:tc>
          <w:tcPr>
            <w:tcW w:w="718" w:type="dxa"/>
            <w:shd w:val="clear" w:color="auto" w:fill="auto"/>
            <w:vAlign w:val="center"/>
          </w:tcPr>
          <w:p>
            <w:pPr>
              <w:jc w:val="center"/>
              <w:rPr>
                <w:szCs w:val="21"/>
              </w:rPr>
            </w:pPr>
            <w:r>
              <w:rPr>
                <w:rFonts w:hint="eastAsia"/>
                <w:color w:val="000000"/>
                <w:szCs w:val="21"/>
              </w:rPr>
              <w:t>主扩声音箱功率放大器</w:t>
            </w:r>
          </w:p>
        </w:tc>
        <w:tc>
          <w:tcPr>
            <w:tcW w:w="2852" w:type="dxa"/>
            <w:shd w:val="clear" w:color="auto" w:fill="auto"/>
          </w:tcPr>
          <w:p>
            <w:pPr>
              <w:jc w:val="left"/>
              <w:rPr>
                <w:szCs w:val="21"/>
              </w:rPr>
            </w:pPr>
            <w:r>
              <w:rPr>
                <w:rFonts w:hint="eastAsia"/>
                <w:szCs w:val="21"/>
              </w:rPr>
              <w:t>1.输出功率：2×330W/8Ω，2×600W/4Ω，2×900W/2Ω，1×1200W/8Ω，1×1800W/4Ω；</w:t>
            </w:r>
          </w:p>
          <w:p>
            <w:pPr>
              <w:jc w:val="left"/>
              <w:rPr>
                <w:szCs w:val="21"/>
              </w:rPr>
            </w:pPr>
            <w:r>
              <w:rPr>
                <w:rFonts w:hint="eastAsia"/>
                <w:szCs w:val="21"/>
              </w:rPr>
              <w:t>2.输入灵敏度： 0.775V；</w:t>
            </w:r>
          </w:p>
          <w:p>
            <w:pPr>
              <w:jc w:val="left"/>
              <w:rPr>
                <w:szCs w:val="21"/>
              </w:rPr>
            </w:pPr>
            <w:r>
              <w:rPr>
                <w:rFonts w:hint="eastAsia"/>
                <w:szCs w:val="21"/>
              </w:rPr>
              <w:t>3.电压增益：35dB；</w:t>
            </w:r>
          </w:p>
          <w:p>
            <w:pPr>
              <w:jc w:val="left"/>
              <w:rPr>
                <w:szCs w:val="21"/>
              </w:rPr>
            </w:pPr>
            <w:r>
              <w:rPr>
                <w:rFonts w:hint="eastAsia"/>
                <w:szCs w:val="21"/>
              </w:rPr>
              <w:t>4.转换速率&gt;30v/μs；</w:t>
            </w:r>
          </w:p>
          <w:p>
            <w:pPr>
              <w:jc w:val="left"/>
              <w:rPr>
                <w:szCs w:val="21"/>
              </w:rPr>
            </w:pPr>
            <w:r>
              <w:rPr>
                <w:rFonts w:hint="eastAsia"/>
                <w:szCs w:val="21"/>
              </w:rPr>
              <w:t>5.输入阻抗：平衡20KΩ，不平衡10KΩ；</w:t>
            </w:r>
          </w:p>
          <w:p>
            <w:pPr>
              <w:jc w:val="left"/>
              <w:rPr>
                <w:szCs w:val="21"/>
              </w:rPr>
            </w:pPr>
            <w:r>
              <w:rPr>
                <w:rFonts w:hint="eastAsia"/>
                <w:szCs w:val="21"/>
              </w:rPr>
              <w:t>6.信噪比（20Hz－20kHz）：100dB；</w:t>
            </w:r>
          </w:p>
          <w:p>
            <w:pPr>
              <w:jc w:val="left"/>
              <w:rPr>
                <w:szCs w:val="21"/>
              </w:rPr>
            </w:pPr>
            <w:r>
              <w:rPr>
                <w:rFonts w:hint="eastAsia"/>
                <w:szCs w:val="21"/>
              </w:rPr>
              <w:t>7.失真：小于0.05%；</w:t>
            </w:r>
          </w:p>
          <w:p>
            <w:pPr>
              <w:jc w:val="left"/>
              <w:rPr>
                <w:szCs w:val="21"/>
              </w:rPr>
            </w:pPr>
            <w:r>
              <w:rPr>
                <w:rFonts w:hint="eastAsia"/>
                <w:szCs w:val="21"/>
              </w:rPr>
              <w:t>8.短路保护；开路保护及过热保护；</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550" w:type="dxa"/>
            <w:shd w:val="clear" w:color="auto" w:fill="auto"/>
            <w:noWrap/>
            <w:vAlign w:val="center"/>
          </w:tcPr>
          <w:p>
            <w:pPr>
              <w:jc w:val="center"/>
              <w:rPr>
                <w:rFonts w:asciiTheme="minorEastAsia" w:hAnsiTheme="minorEastAsia"/>
                <w:color w:val="000000"/>
                <w:szCs w:val="21"/>
              </w:rPr>
            </w:pPr>
            <w:r>
              <w:rPr>
                <w:rFonts w:hint="eastAsia" w:asciiTheme="minorEastAsia" w:hAnsiTheme="minorEastAsia"/>
                <w:color w:val="000000"/>
                <w:szCs w:val="21"/>
              </w:rPr>
              <w:t>13</w:t>
            </w:r>
          </w:p>
        </w:tc>
        <w:tc>
          <w:tcPr>
            <w:tcW w:w="718" w:type="dxa"/>
            <w:shd w:val="clear" w:color="auto" w:fill="auto"/>
            <w:vAlign w:val="center"/>
          </w:tcPr>
          <w:p>
            <w:pPr>
              <w:jc w:val="center"/>
              <w:rPr>
                <w:rFonts w:asciiTheme="minorEastAsia" w:hAnsiTheme="minorEastAsia"/>
                <w:color w:val="000000"/>
                <w:szCs w:val="21"/>
              </w:rPr>
            </w:pPr>
            <w:r>
              <w:rPr>
                <w:rFonts w:hint="eastAsia" w:asciiTheme="minorEastAsia" w:hAnsiTheme="minorEastAsia"/>
                <w:color w:val="000000"/>
                <w:szCs w:val="21"/>
              </w:rPr>
              <w:t>系统集成</w:t>
            </w:r>
          </w:p>
        </w:tc>
        <w:tc>
          <w:tcPr>
            <w:tcW w:w="2852" w:type="dxa"/>
            <w:shd w:val="clear" w:color="auto" w:fill="auto"/>
            <w:vAlign w:val="center"/>
          </w:tcPr>
          <w:p>
            <w:pPr>
              <w:jc w:val="left"/>
              <w:rPr>
                <w:rFonts w:asciiTheme="minorEastAsia" w:hAnsiTheme="minorEastAsia"/>
                <w:szCs w:val="21"/>
              </w:rPr>
            </w:pPr>
            <w:r>
              <w:rPr>
                <w:rFonts w:hint="eastAsia" w:asciiTheme="minorEastAsia" w:hAnsiTheme="minorEastAsia"/>
                <w:szCs w:val="21"/>
              </w:rPr>
              <w:t>1、强电应采用阻燃硬质PVC线管走线，弱电应采用PVC线管（槽）走线，不得采用钢、铁等材质的线槽（管）。所有线缆在转弯处需采用过线盒、弯头或者软管进行保护，避免线缆裸露；</w:t>
            </w:r>
          </w:p>
          <w:p>
            <w:pPr>
              <w:jc w:val="left"/>
              <w:rPr>
                <w:rFonts w:asciiTheme="minorEastAsia" w:hAnsiTheme="minorEastAsia"/>
                <w:szCs w:val="21"/>
              </w:rPr>
            </w:pPr>
            <w:r>
              <w:rPr>
                <w:rFonts w:hint="eastAsia" w:asciiTheme="minorEastAsia" w:hAnsiTheme="minorEastAsia"/>
                <w:szCs w:val="21"/>
              </w:rPr>
              <w:t>2、网线要求：8芯六类非屏蔽双绞线，超过TIA/EIA 568B.2六类标准，CM防火级别，纯铜8芯，芯径0.5mm，阻燃外皮；</w:t>
            </w:r>
          </w:p>
          <w:p>
            <w:pPr>
              <w:jc w:val="left"/>
              <w:rPr>
                <w:rFonts w:asciiTheme="minorEastAsia" w:hAnsiTheme="minorEastAsia"/>
                <w:szCs w:val="21"/>
              </w:rPr>
            </w:pPr>
            <w:r>
              <w:rPr>
                <w:rFonts w:hint="eastAsia" w:asciiTheme="minorEastAsia" w:hAnsiTheme="minorEastAsia"/>
                <w:szCs w:val="21"/>
              </w:rPr>
              <w:t>3、电源线要求：≥2.5mm²；</w:t>
            </w:r>
          </w:p>
          <w:p>
            <w:pPr>
              <w:jc w:val="left"/>
              <w:rPr>
                <w:rFonts w:asciiTheme="minorEastAsia" w:hAnsiTheme="minorEastAsia"/>
                <w:szCs w:val="21"/>
              </w:rPr>
            </w:pPr>
            <w:r>
              <w:rPr>
                <w:rFonts w:hint="eastAsia" w:asciiTheme="minorEastAsia" w:hAnsiTheme="minorEastAsia"/>
                <w:szCs w:val="21"/>
              </w:rPr>
              <w:t>4、线路、管道需从地下铺设，在进入讲台部分，需通过PVC管将线路保护，避免线缆裸露。地面走线开槽深度不小于20mm，开槽深度受限制时，应与学校协商制作讲台地台或采用其它可行的双方认可的工艺或方法解决，线</w:t>
            </w:r>
          </w:p>
          <w:p>
            <w:pPr>
              <w:jc w:val="left"/>
              <w:rPr>
                <w:rFonts w:asciiTheme="minorEastAsia" w:hAnsiTheme="minorEastAsia"/>
                <w:szCs w:val="21"/>
              </w:rPr>
            </w:pPr>
            <w:r>
              <w:rPr>
                <w:rFonts w:hint="eastAsia" w:asciiTheme="minorEastAsia" w:hAnsiTheme="minorEastAsia"/>
                <w:szCs w:val="21"/>
              </w:rPr>
              <w:t>槽固定后恢复地面原状；</w:t>
            </w:r>
          </w:p>
          <w:p>
            <w:pPr>
              <w:jc w:val="left"/>
              <w:rPr>
                <w:rFonts w:asciiTheme="minorEastAsia" w:hAnsiTheme="minorEastAsia"/>
                <w:szCs w:val="21"/>
              </w:rPr>
            </w:pPr>
            <w:r>
              <w:rPr>
                <w:rFonts w:hint="eastAsia" w:asciiTheme="minorEastAsia" w:hAnsiTheme="minorEastAsia"/>
                <w:szCs w:val="21"/>
              </w:rPr>
              <w:t>5、强电布线时必须铺设接地线，并使设备有效接地。强电线径需符合终端负载要求，避免线路过载引起的开关跳闸或线路过热起火，强电电线应采用护套线，接地线线径不应小于火线及零线线径，所采用的电源插座需与线路相匹配；</w:t>
            </w:r>
          </w:p>
          <w:p>
            <w:pPr>
              <w:rPr>
                <w:rFonts w:asciiTheme="minorEastAsia" w:hAnsiTheme="minorEastAsia"/>
                <w:color w:val="000000"/>
                <w:szCs w:val="21"/>
              </w:rPr>
            </w:pPr>
            <w:r>
              <w:rPr>
                <w:rFonts w:hint="eastAsia" w:asciiTheme="minorEastAsia" w:hAnsiTheme="minorEastAsia"/>
                <w:szCs w:val="21"/>
              </w:rPr>
              <w:t>6、开槽或安装不锈钢盖板，须有效接地，多段盖板相互有效连接</w:t>
            </w:r>
            <w:r>
              <w:rPr>
                <w:rFonts w:hint="eastAsia" w:asciiTheme="minorEastAsia" w:hAnsiTheme="minorEastAsia"/>
                <w:color w:val="000000"/>
                <w:szCs w:val="21"/>
              </w:rPr>
              <w:t>。</w:t>
            </w:r>
          </w:p>
        </w:tc>
        <w:tc>
          <w:tcPr>
            <w:tcW w:w="161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c>
          <w:tcPr>
            <w:tcW w:w="1852" w:type="dxa"/>
            <w:shd w:val="clear" w:color="auto" w:fill="auto"/>
            <w:noWrap/>
            <w:vAlign w:val="center"/>
          </w:tcPr>
          <w:p>
            <w:pPr>
              <w:jc w:val="center"/>
              <w:rPr>
                <w:rFonts w:asciiTheme="minorEastAsia" w:hAnsiTheme="minorEastAsia"/>
                <w:color w:val="000000"/>
                <w:szCs w:val="21"/>
              </w:rPr>
            </w:pPr>
          </w:p>
        </w:tc>
      </w:tr>
    </w:tbl>
    <w:p>
      <w:pPr>
        <w:tabs>
          <w:tab w:val="clear" w:pos="426"/>
        </w:tabs>
        <w:spacing w:line="240" w:lineRule="auto"/>
        <w:rPr>
          <w:rFonts w:cs="Arial"/>
          <w:bCs/>
          <w:szCs w:val="21"/>
        </w:rPr>
      </w:pPr>
      <w:bookmarkStart w:id="75" w:name="_Hlk535526122"/>
      <w:r>
        <w:rPr>
          <w:rFonts w:hint="eastAsia" w:cs="Arial"/>
          <w:bCs/>
          <w:szCs w:val="21"/>
        </w:rPr>
        <w:t>备注：</w:t>
      </w:r>
    </w:p>
    <w:p>
      <w:pPr>
        <w:tabs>
          <w:tab w:val="clear" w:pos="426"/>
        </w:tabs>
        <w:spacing w:line="240" w:lineRule="auto"/>
        <w:ind w:firstLine="420" w:firstLineChars="200"/>
        <w:rPr>
          <w:rFonts w:cs="Arial"/>
          <w:bCs/>
          <w:szCs w:val="21"/>
          <w:highlight w:val="yellow"/>
        </w:rPr>
      </w:pPr>
      <w:r>
        <w:rPr>
          <w:rFonts w:hint="eastAsia" w:cs="Arial"/>
          <w:bCs/>
          <w:szCs w:val="21"/>
          <w:highlight w:val="yellow"/>
        </w:rPr>
        <w:t>1.“招标技术要求”一栏应填写招标文件第三章“具体技术要求”的内容，"投标技术响应"一栏必须详细填写投标产品的具体参数，不得照搬照抄招标文件的技术要求，否则评标委员会有权认定为不合格响应，“偏离情况”一栏应如实填写“正偏离”、“负偏离”或“无偏离”。</w:t>
      </w:r>
    </w:p>
    <w:p>
      <w:pPr>
        <w:tabs>
          <w:tab w:val="clear" w:pos="426"/>
        </w:tabs>
        <w:spacing w:line="240" w:lineRule="auto"/>
        <w:ind w:firstLine="420" w:firstLineChars="200"/>
        <w:rPr>
          <w:rFonts w:cs="Arial"/>
          <w:bCs/>
          <w:szCs w:val="21"/>
        </w:rPr>
      </w:pPr>
      <w:r>
        <w:rPr>
          <w:rFonts w:hint="eastAsia" w:cs="Arial"/>
          <w:bCs/>
          <w:szCs w:val="21"/>
          <w:highlight w:val="yellow"/>
        </w:rPr>
        <w:t>2.若“招标技术要求”要求对投标产品的技术参数提供相应的证明资料，以证明投标人响应的真实性，投标人应按照招标文件的要求提供证明资料（例如：制造商公布的产品说明书、或产品彩页、或我国政府机构出具的产品检验和核准证件等）。投标人应在"说明"一栏中列出技术参数的证明资料名称，并指明该证明资料在投标文件中的具体位置。</w:t>
      </w:r>
    </w:p>
    <w:p>
      <w:pPr>
        <w:tabs>
          <w:tab w:val="clear" w:pos="426"/>
        </w:tabs>
        <w:spacing w:line="240" w:lineRule="auto"/>
        <w:ind w:firstLine="420" w:firstLineChars="200"/>
        <w:rPr>
          <w:rFonts w:cs="Arial"/>
          <w:bCs/>
          <w:szCs w:val="21"/>
        </w:rPr>
      </w:pPr>
      <w:r>
        <w:rPr>
          <w:rFonts w:hint="eastAsia" w:cs="Arial"/>
          <w:bCs/>
          <w:szCs w:val="21"/>
          <w:highlight w:val="yellow"/>
        </w:rPr>
        <w:t>若“招标技术要求”没有要求对投标产品的技术参数提供相应的证明资料，投标人所提供的《技术规格偏离表》即为对招标技术要求作出投标技术响应的书面承诺，投标人在中标后应严格按照承诺内容供货和履约，否则采购人有权将相关情况报政府采购主管部门并依据相关法律法规追究投标人的责任。</w:t>
      </w:r>
    </w:p>
    <w:p>
      <w:pPr>
        <w:tabs>
          <w:tab w:val="clear" w:pos="426"/>
        </w:tabs>
        <w:spacing w:line="240" w:lineRule="auto"/>
        <w:ind w:firstLine="420" w:firstLineChars="200"/>
        <w:rPr>
          <w:rFonts w:cs="Arial"/>
          <w:bCs/>
          <w:szCs w:val="21"/>
        </w:rPr>
      </w:pPr>
      <w:r>
        <w:rPr>
          <w:rFonts w:hint="eastAsia" w:cs="Arial"/>
          <w:bCs/>
          <w:szCs w:val="21"/>
        </w:rPr>
        <w:t>3. 证明资料（均为原件复印件）的提供要求：</w:t>
      </w:r>
    </w:p>
    <w:p>
      <w:pPr>
        <w:tabs>
          <w:tab w:val="clear" w:pos="426"/>
        </w:tabs>
        <w:spacing w:line="240" w:lineRule="auto"/>
        <w:ind w:firstLine="420" w:firstLineChars="200"/>
        <w:rPr>
          <w:rFonts w:cs="Arial"/>
          <w:bCs/>
          <w:szCs w:val="21"/>
        </w:rPr>
      </w:pPr>
      <w:r>
        <w:rPr>
          <w:rFonts w:hint="eastAsia" w:cs="Arial"/>
          <w:bCs/>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纸质文件上被阅读、识别和判断；</w:t>
      </w:r>
    </w:p>
    <w:p>
      <w:pPr>
        <w:tabs>
          <w:tab w:val="clear" w:pos="426"/>
        </w:tabs>
        <w:spacing w:line="240" w:lineRule="auto"/>
        <w:ind w:firstLine="420" w:firstLineChars="200"/>
        <w:rPr>
          <w:rFonts w:cs="Arial"/>
          <w:bCs/>
          <w:szCs w:val="21"/>
        </w:rPr>
      </w:pPr>
      <w:r>
        <w:rPr>
          <w:rFonts w:hint="eastAsia" w:cs="Arial"/>
          <w:bCs/>
          <w:szCs w:val="21"/>
        </w:rPr>
        <w:t>（2）我国政府机构出具的产品检验和核准证件应为证件正面、背面和附件标注的全部具体内容；产品检验和核准证件的尺寸和清晰度应该能够被阅读、识别和判断。</w:t>
      </w:r>
    </w:p>
    <w:p>
      <w:pPr>
        <w:tabs>
          <w:tab w:val="clear" w:pos="426"/>
        </w:tabs>
        <w:spacing w:line="240" w:lineRule="auto"/>
        <w:ind w:firstLine="420" w:firstLineChars="200"/>
        <w:rPr>
          <w:rFonts w:cs="Arial"/>
          <w:bCs/>
          <w:szCs w:val="21"/>
        </w:rPr>
      </w:pPr>
      <w:r>
        <w:rPr>
          <w:rFonts w:hint="eastAsia" w:cs="Arial"/>
          <w:bCs/>
          <w:szCs w:val="21"/>
        </w:rPr>
        <w:t>（3）未达到以上提供要求的，评标委员会有权认定为不合格响应，其相关分数予以扣减。</w:t>
      </w:r>
    </w:p>
    <w:bookmarkEnd w:id="75"/>
    <w:p>
      <w:pPr>
        <w:tabs>
          <w:tab w:val="clear" w:pos="426"/>
        </w:tabs>
        <w:ind w:firstLine="420" w:firstLineChars="200"/>
        <w:rPr>
          <w:rFonts w:cs="Arial"/>
          <w:bCs/>
          <w:szCs w:val="21"/>
        </w:rPr>
      </w:pPr>
    </w:p>
    <w:p>
      <w:pPr>
        <w:tabs>
          <w:tab w:val="clear" w:pos="426"/>
        </w:tabs>
        <w:ind w:firstLine="420" w:firstLineChars="200"/>
        <w:rPr>
          <w:rFonts w:cs="Arial"/>
          <w:bCs/>
          <w:szCs w:val="21"/>
        </w:rPr>
      </w:pPr>
    </w:p>
    <w:p>
      <w:pPr>
        <w:numPr>
          <w:ilvl w:val="0"/>
          <w:numId w:val="34"/>
        </w:numPr>
        <w:adjustRightInd/>
        <w:snapToGrid/>
        <w:spacing w:before="280" w:after="290" w:line="377" w:lineRule="auto"/>
        <w:outlineLvl w:val="2"/>
        <w:rPr>
          <w:b/>
          <w:sz w:val="24"/>
        </w:rPr>
      </w:pPr>
      <w:r>
        <w:rPr>
          <w:spacing w:val="4"/>
          <w:u w:val="single"/>
        </w:rPr>
        <w:br w:type="page"/>
      </w:r>
      <w:r>
        <w:rPr>
          <w:rFonts w:hint="eastAsia"/>
          <w:b/>
          <w:sz w:val="24"/>
        </w:rPr>
        <w:t>现场勘察情况</w:t>
      </w:r>
    </w:p>
    <w:p>
      <w:pPr>
        <w:numPr>
          <w:ilvl w:val="0"/>
          <w:numId w:val="34"/>
        </w:numPr>
        <w:adjustRightInd/>
        <w:snapToGrid/>
        <w:spacing w:before="280" w:after="290" w:line="377" w:lineRule="auto"/>
        <w:outlineLvl w:val="2"/>
        <w:rPr>
          <w:b/>
          <w:sz w:val="24"/>
        </w:rPr>
      </w:pPr>
      <w:r>
        <w:rPr>
          <w:rFonts w:hint="eastAsia"/>
          <w:sz w:val="22"/>
        </w:rPr>
        <w:t>拟安排项目经理情况</w:t>
      </w:r>
    </w:p>
    <w:p>
      <w:pPr>
        <w:numPr>
          <w:ilvl w:val="0"/>
          <w:numId w:val="34"/>
        </w:numPr>
        <w:adjustRightInd/>
        <w:snapToGrid/>
        <w:spacing w:before="280" w:after="290" w:line="377" w:lineRule="auto"/>
        <w:outlineLvl w:val="2"/>
        <w:rPr>
          <w:b/>
          <w:sz w:val="24"/>
        </w:rPr>
        <w:sectPr>
          <w:pgSz w:w="11906" w:h="16838"/>
          <w:pgMar w:top="1134" w:right="1134" w:bottom="1134" w:left="1418" w:header="851" w:footer="992" w:gutter="0"/>
          <w:cols w:space="425" w:num="1"/>
          <w:titlePg/>
          <w:docGrid w:linePitch="462" w:charSpace="0"/>
        </w:sectPr>
      </w:pPr>
      <w:r>
        <w:rPr>
          <w:rFonts w:hint="eastAsia"/>
          <w:sz w:val="22"/>
        </w:rPr>
        <w:t>拟安排项目实施成员情况（项目经理除外）</w:t>
      </w:r>
    </w:p>
    <w:p>
      <w:pPr>
        <w:pStyle w:val="2"/>
      </w:pPr>
    </w:p>
    <w:p>
      <w:pPr>
        <w:numPr>
          <w:ilvl w:val="0"/>
          <w:numId w:val="34"/>
        </w:numPr>
        <w:adjustRightInd/>
        <w:snapToGrid/>
        <w:spacing w:before="280" w:after="290" w:line="377" w:lineRule="auto"/>
        <w:outlineLvl w:val="2"/>
        <w:rPr>
          <w:b/>
          <w:sz w:val="24"/>
        </w:rPr>
      </w:pPr>
      <w:r>
        <w:rPr>
          <w:rFonts w:hint="eastAsia"/>
          <w:sz w:val="22"/>
        </w:rPr>
        <w:t>项目实施方案</w:t>
      </w:r>
    </w:p>
    <w:p>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cs="Times New Roman"/>
          <w:bCs/>
          <w:kern w:val="2"/>
          <w:sz w:val="32"/>
          <w:szCs w:val="32"/>
        </w:rPr>
        <w:t>项目实施方案</w:t>
      </w:r>
    </w:p>
    <w:p>
      <w:pPr>
        <w:tabs>
          <w:tab w:val="clear" w:pos="426"/>
        </w:tabs>
        <w:wordWrap w:val="0"/>
      </w:pPr>
    </w:p>
    <w:p>
      <w:pPr>
        <w:tabs>
          <w:tab w:val="clear" w:pos="426"/>
        </w:tabs>
        <w:wordWrap w:val="0"/>
        <w:rPr>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p>
      <w:pPr>
        <w:tabs>
          <w:tab w:val="clear" w:pos="426"/>
        </w:tabs>
        <w:rPr>
          <w:rFonts w:cs="Arial"/>
          <w:bCs/>
          <w:szCs w:val="21"/>
        </w:rPr>
      </w:pPr>
      <w:r>
        <w:rPr>
          <w:rFonts w:hint="eastAsia" w:cs="Arial"/>
          <w:bCs/>
          <w:szCs w:val="21"/>
        </w:rPr>
        <w:t>主要内容应包括（可根据项目实际情况适当调整内容）</w:t>
      </w:r>
    </w:p>
    <w:p>
      <w:pPr>
        <w:tabs>
          <w:tab w:val="clear" w:pos="426"/>
        </w:tabs>
        <w:spacing w:line="400" w:lineRule="exact"/>
      </w:pPr>
      <w:r>
        <w:t>1</w:t>
      </w:r>
      <w:r>
        <w:rPr>
          <w:rFonts w:hint="eastAsia"/>
        </w:rPr>
        <w:t>.</w:t>
      </w:r>
    </w:p>
    <w:p>
      <w:pPr>
        <w:tabs>
          <w:tab w:val="clear" w:pos="426"/>
        </w:tabs>
        <w:spacing w:line="400" w:lineRule="exact"/>
      </w:pPr>
      <w:r>
        <w:t>2</w:t>
      </w:r>
      <w:r>
        <w:rPr>
          <w:rFonts w:hint="eastAsia"/>
        </w:rPr>
        <w:t>.</w:t>
      </w:r>
    </w:p>
    <w:p>
      <w:pPr>
        <w:tabs>
          <w:tab w:val="clear" w:pos="426"/>
        </w:tabs>
        <w:spacing w:line="400" w:lineRule="exact"/>
        <w:rPr>
          <w:bCs/>
        </w:rPr>
      </w:pPr>
    </w:p>
    <w:p>
      <w:pPr>
        <w:tabs>
          <w:tab w:val="clear" w:pos="426"/>
        </w:tabs>
        <w:spacing w:line="440" w:lineRule="exact"/>
        <w:rPr>
          <w:bCs/>
        </w:rPr>
      </w:pPr>
    </w:p>
    <w:p>
      <w:pPr>
        <w:pStyle w:val="2"/>
      </w:pPr>
    </w:p>
    <w:p>
      <w:pPr>
        <w:numPr>
          <w:ilvl w:val="0"/>
          <w:numId w:val="34"/>
        </w:numPr>
        <w:adjustRightInd/>
        <w:snapToGrid/>
        <w:spacing w:before="280" w:after="290" w:line="377" w:lineRule="auto"/>
        <w:outlineLvl w:val="2"/>
        <w:rPr>
          <w:b/>
          <w:sz w:val="24"/>
        </w:rPr>
        <w:sectPr>
          <w:pgSz w:w="11906" w:h="16838"/>
          <w:pgMar w:top="1134" w:right="1134" w:bottom="1134" w:left="1418" w:header="851" w:footer="992" w:gutter="0"/>
          <w:cols w:space="425" w:num="1"/>
          <w:titlePg/>
          <w:docGrid w:linePitch="462" w:charSpace="0"/>
        </w:sectPr>
      </w:pPr>
      <w:bookmarkStart w:id="76" w:name="_Hlk535582601"/>
    </w:p>
    <w:p>
      <w:pPr>
        <w:numPr>
          <w:ilvl w:val="0"/>
          <w:numId w:val="34"/>
        </w:numPr>
        <w:adjustRightInd/>
        <w:snapToGrid/>
        <w:spacing w:before="280" w:after="290" w:line="377" w:lineRule="auto"/>
        <w:outlineLvl w:val="2"/>
        <w:rPr>
          <w:b/>
          <w:sz w:val="24"/>
        </w:rPr>
      </w:pPr>
      <w:r>
        <w:rPr>
          <w:rFonts w:hint="eastAsia"/>
        </w:rPr>
        <w:t>售后服务</w:t>
      </w:r>
    </w:p>
    <w:bookmarkEnd w:id="76"/>
    <w:p>
      <w:pPr>
        <w:shd w:val="clear" w:color="auto" w:fill="auto"/>
        <w:tabs>
          <w:tab w:val="clear" w:pos="426"/>
        </w:tabs>
        <w:adjustRightInd/>
        <w:snapToGrid/>
        <w:spacing w:line="240" w:lineRule="auto"/>
        <w:jc w:val="left"/>
        <w:rPr>
          <w:b/>
          <w:sz w:val="24"/>
        </w:rPr>
      </w:pPr>
    </w:p>
    <w:p>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cs="Times New Roman"/>
          <w:bCs/>
          <w:kern w:val="2"/>
          <w:sz w:val="32"/>
          <w:szCs w:val="32"/>
        </w:rPr>
        <w:t>售后服务方案</w:t>
      </w:r>
    </w:p>
    <w:p>
      <w:pPr>
        <w:tabs>
          <w:tab w:val="clear" w:pos="426"/>
        </w:tabs>
        <w:wordWrap w:val="0"/>
      </w:pPr>
    </w:p>
    <w:p>
      <w:pPr>
        <w:tabs>
          <w:tab w:val="clear" w:pos="426"/>
        </w:tabs>
        <w:wordWrap w:val="0"/>
        <w:rPr>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p>
      <w:pPr>
        <w:widowControl w:val="0"/>
        <w:shd w:val="clear" w:color="auto" w:fill="auto"/>
        <w:tabs>
          <w:tab w:val="clear" w:pos="426"/>
        </w:tabs>
        <w:adjustRightInd/>
        <w:snapToGrid/>
        <w:spacing w:line="300" w:lineRule="auto"/>
        <w:jc w:val="center"/>
        <w:rPr>
          <w:rFonts w:cs="Times New Roman"/>
          <w:bCs/>
          <w:kern w:val="2"/>
          <w:sz w:val="32"/>
          <w:szCs w:val="32"/>
        </w:rPr>
        <w:sectPr>
          <w:pgSz w:w="11906" w:h="16838"/>
          <w:pgMar w:top="1134" w:right="1134" w:bottom="1134" w:left="1418" w:header="851" w:footer="992" w:gutter="0"/>
          <w:cols w:space="425" w:num="1"/>
          <w:titlePg/>
          <w:docGrid w:linePitch="462" w:charSpace="0"/>
        </w:sectPr>
      </w:pPr>
    </w:p>
    <w:p>
      <w:pPr>
        <w:pStyle w:val="2"/>
      </w:pPr>
    </w:p>
    <w:p>
      <w:pPr>
        <w:numPr>
          <w:ilvl w:val="0"/>
          <w:numId w:val="34"/>
        </w:numPr>
        <w:adjustRightInd/>
        <w:snapToGrid/>
        <w:spacing w:before="280" w:after="290" w:line="377" w:lineRule="auto"/>
        <w:outlineLvl w:val="2"/>
        <w:rPr>
          <w:b/>
          <w:sz w:val="24"/>
        </w:rPr>
      </w:pPr>
      <w:r>
        <w:rPr>
          <w:rFonts w:hint="eastAsia"/>
          <w:b/>
          <w:bCs/>
          <w:sz w:val="24"/>
        </w:rPr>
        <w:t>中小企业声明函及残疾人福利性单位声明函（或省级以上监狱管理局、戒毒管理局（含新疆生产建设兵团）出具的属于监狱企业的证明文件）（可选）</w:t>
      </w:r>
    </w:p>
    <w:p>
      <w:pPr>
        <w:tabs>
          <w:tab w:val="clear" w:pos="426"/>
        </w:tabs>
        <w:ind w:left="-2" w:leftChars="-1" w:firstLine="420" w:firstLineChars="200"/>
        <w:rPr>
          <w:bCs/>
          <w:szCs w:val="21"/>
        </w:rPr>
      </w:pPr>
      <w:r>
        <w:rPr>
          <w:rFonts w:hint="eastAsia"/>
          <w:bCs/>
          <w:szCs w:val="21"/>
        </w:rPr>
        <w:t>（</w:t>
      </w:r>
      <w:r>
        <w:rPr>
          <w:bCs/>
          <w:szCs w:val="21"/>
        </w:rPr>
        <w:t>1）中小企业声明函（仅限中小企业）</w:t>
      </w:r>
    </w:p>
    <w:p>
      <w:pPr>
        <w:tabs>
          <w:tab w:val="clear" w:pos="426"/>
        </w:tabs>
        <w:ind w:left="-2" w:leftChars="-1" w:firstLine="420" w:firstLineChars="200"/>
        <w:rPr>
          <w:bCs/>
          <w:szCs w:val="21"/>
        </w:rPr>
      </w:pPr>
    </w:p>
    <w:p>
      <w:pPr>
        <w:tabs>
          <w:tab w:val="clear" w:pos="426"/>
        </w:tabs>
        <w:ind w:left="-2" w:leftChars="-1" w:firstLine="420" w:firstLineChars="200"/>
        <w:rPr>
          <w:bCs/>
          <w:szCs w:val="21"/>
        </w:rPr>
      </w:pPr>
      <w:r>
        <w:rPr>
          <w:rFonts w:hint="eastAsia"/>
          <w:bCs/>
          <w:szCs w:val="21"/>
        </w:rPr>
        <w:t>本公司郑重声明，根据《政府采购促进中小企业发展暂行办法》（财库〔</w:t>
      </w:r>
      <w:r>
        <w:rPr>
          <w:bCs/>
          <w:szCs w:val="21"/>
        </w:rPr>
        <w:t>2011〕181号）的规定，本公司为______（请填写：中型、小型、微型）企业。即，本公司同时满足以下条件：</w:t>
      </w:r>
    </w:p>
    <w:p>
      <w:pPr>
        <w:tabs>
          <w:tab w:val="clear" w:pos="426"/>
        </w:tabs>
        <w:ind w:left="-2" w:leftChars="-1" w:firstLine="420" w:firstLineChars="200"/>
        <w:rPr>
          <w:bCs/>
          <w:szCs w:val="21"/>
        </w:rPr>
      </w:pPr>
      <w:r>
        <w:rPr>
          <w:bCs/>
          <w:szCs w:val="21"/>
        </w:rPr>
        <w:t>1.根据《工业和信息化部、国家统计局、国家发展和改革委员会、财政部关于印发中小企业划型标准规定的通知》（工信部联企业〔2011〕300号）规定的划分标准，本公司为______（请填写：中型、小型、微型）企业。</w:t>
      </w:r>
    </w:p>
    <w:p>
      <w:pPr>
        <w:tabs>
          <w:tab w:val="clear" w:pos="426"/>
        </w:tabs>
        <w:ind w:left="-2" w:leftChars="-1" w:firstLine="420" w:firstLineChars="200"/>
        <w:rPr>
          <w:bCs/>
          <w:szCs w:val="21"/>
        </w:rPr>
      </w:pPr>
      <w:r>
        <w:rPr>
          <w:bCs/>
          <w:szCs w:val="21"/>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tabs>
          <w:tab w:val="clear" w:pos="426"/>
        </w:tabs>
        <w:ind w:left="-2" w:leftChars="-1" w:firstLine="420" w:firstLineChars="200"/>
        <w:rPr>
          <w:bCs/>
          <w:szCs w:val="21"/>
        </w:rPr>
      </w:pPr>
      <w:r>
        <w:rPr>
          <w:rFonts w:hint="eastAsia"/>
          <w:bCs/>
          <w:szCs w:val="21"/>
        </w:rPr>
        <w:t>本公司对上述声明的真实性负责。如有虚假，将依法承担相应责任。</w:t>
      </w:r>
      <w:r>
        <w:rPr>
          <w:bCs/>
          <w:szCs w:val="21"/>
        </w:rPr>
        <w:t xml:space="preserve"> </w:t>
      </w:r>
    </w:p>
    <w:p>
      <w:pPr>
        <w:tabs>
          <w:tab w:val="clear" w:pos="426"/>
        </w:tabs>
        <w:ind w:left="-2" w:leftChars="-1" w:firstLine="420" w:firstLineChars="200"/>
        <w:rPr>
          <w:bCs/>
          <w:szCs w:val="21"/>
        </w:rPr>
      </w:pPr>
    </w:p>
    <w:p>
      <w:pPr>
        <w:tabs>
          <w:tab w:val="clear" w:pos="426"/>
        </w:tabs>
        <w:ind w:left="-2" w:leftChars="-1" w:firstLine="420" w:firstLineChars="200"/>
        <w:rPr>
          <w:bCs/>
          <w:szCs w:val="21"/>
        </w:rPr>
      </w:pPr>
      <w:r>
        <w:rPr>
          <w:rFonts w:hint="eastAsia"/>
          <w:bCs/>
          <w:szCs w:val="21"/>
        </w:rPr>
        <w:t>（</w:t>
      </w:r>
      <w:r>
        <w:rPr>
          <w:bCs/>
          <w:szCs w:val="21"/>
        </w:rPr>
        <w:t>2）残疾人福利性单位声明函（仅限残疾人福利性单位）</w:t>
      </w:r>
    </w:p>
    <w:p>
      <w:pPr>
        <w:tabs>
          <w:tab w:val="clear" w:pos="426"/>
        </w:tabs>
        <w:ind w:left="-2" w:leftChars="-1" w:firstLine="420" w:firstLineChars="200"/>
        <w:rPr>
          <w:bCs/>
          <w:szCs w:val="21"/>
        </w:rPr>
      </w:pPr>
    </w:p>
    <w:p>
      <w:pPr>
        <w:tabs>
          <w:tab w:val="clear" w:pos="426"/>
        </w:tabs>
        <w:ind w:left="-2" w:leftChars="-1" w:firstLine="420" w:firstLineChars="200"/>
        <w:rPr>
          <w:bCs/>
          <w:szCs w:val="21"/>
        </w:rPr>
      </w:pPr>
      <w:r>
        <w:rPr>
          <w:rFonts w:hint="eastAsia"/>
          <w:bCs/>
          <w:szCs w:val="21"/>
        </w:rPr>
        <w:t>本单位郑重声明，根据《财政部</w:t>
      </w:r>
      <w:r>
        <w:rPr>
          <w:bCs/>
          <w:szCs w:val="21"/>
        </w:rPr>
        <w:t xml:space="preserve">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clear" w:pos="426"/>
        </w:tabs>
        <w:ind w:left="-2" w:leftChars="-1" w:firstLine="420" w:firstLineChars="200"/>
        <w:rPr>
          <w:bCs/>
          <w:szCs w:val="21"/>
        </w:rPr>
      </w:pPr>
      <w:r>
        <w:rPr>
          <w:rFonts w:hint="eastAsia"/>
          <w:bCs/>
          <w:szCs w:val="21"/>
        </w:rPr>
        <w:t>本单位对上述声明的真实性负责。如有虚假，将依法承担相应责任。</w:t>
      </w:r>
    </w:p>
    <w:p>
      <w:pPr>
        <w:tabs>
          <w:tab w:val="clear" w:pos="426"/>
        </w:tabs>
        <w:ind w:left="-2" w:leftChars="-1" w:firstLine="420" w:firstLineChars="200"/>
        <w:rPr>
          <w:bCs/>
          <w:szCs w:val="21"/>
        </w:rPr>
      </w:pPr>
    </w:p>
    <w:p>
      <w:pPr>
        <w:tabs>
          <w:tab w:val="clear" w:pos="426"/>
        </w:tabs>
        <w:ind w:left="-2" w:leftChars="-1" w:firstLine="420" w:firstLineChars="200"/>
        <w:rPr>
          <w:bCs/>
          <w:szCs w:val="21"/>
          <w:lang w:val="en-GB"/>
        </w:rPr>
      </w:pPr>
      <w:r>
        <w:rPr>
          <w:rFonts w:hint="eastAsia"/>
          <w:bCs/>
          <w:szCs w:val="21"/>
        </w:rPr>
        <w:t>（</w:t>
      </w:r>
      <w:r>
        <w:rPr>
          <w:bCs/>
          <w:szCs w:val="21"/>
        </w:rPr>
        <w:t>3）省级以上监狱管理局、戒毒管理局（含新疆生产建设兵团）出具的属于监狱企业的证明文件（仅限监狱企业，格式自定）</w:t>
      </w:r>
    </w:p>
    <w:p>
      <w:pPr>
        <w:tabs>
          <w:tab w:val="clear" w:pos="426"/>
        </w:tabs>
        <w:ind w:firstLine="420" w:firstLineChars="200"/>
      </w:pPr>
    </w:p>
    <w:p>
      <w:pPr>
        <w:tabs>
          <w:tab w:val="clear" w:pos="426"/>
        </w:tabs>
        <w:spacing w:line="500" w:lineRule="exact"/>
        <w:rPr>
          <w:u w:val="single"/>
        </w:rPr>
      </w:pPr>
      <w:r>
        <w:rPr>
          <w:rFonts w:hint="eastAsia"/>
          <w:spacing w:val="4"/>
        </w:rPr>
        <w:t>投标人名称（盖公章）：</w:t>
      </w:r>
      <w:r>
        <w:rPr>
          <w:rFonts w:hint="eastAsia"/>
          <w:spacing w:val="4"/>
          <w:u w:val="single"/>
        </w:rPr>
        <w:t xml:space="preserve">                                      </w:t>
      </w:r>
    </w:p>
    <w:p>
      <w:pPr>
        <w:tabs>
          <w:tab w:val="clear" w:pos="426"/>
        </w:tabs>
        <w:spacing w:line="440" w:lineRule="exact"/>
        <w:rPr>
          <w:spacing w:val="4"/>
        </w:rPr>
      </w:pPr>
      <w:r>
        <w:rPr>
          <w:rFonts w:hint="eastAsia"/>
        </w:rPr>
        <w:t>法定代表人或投标人授权代表（签名或盖章）：</w:t>
      </w:r>
      <w:r>
        <w:rPr>
          <w:spacing w:val="4"/>
          <w:u w:val="single"/>
        </w:rPr>
        <w:t xml:space="preserve">       </w:t>
      </w:r>
      <w:r>
        <w:rPr>
          <w:rFonts w:hint="eastAsia"/>
          <w:spacing w:val="4"/>
          <w:u w:val="single"/>
        </w:rPr>
        <w:t xml:space="preserve">       </w:t>
      </w:r>
      <w:r>
        <w:rPr>
          <w:spacing w:val="4"/>
          <w:u w:val="single"/>
        </w:rPr>
        <w:t xml:space="preserve">      </w:t>
      </w:r>
      <w:r>
        <w:rPr>
          <w:spacing w:val="4"/>
        </w:rPr>
        <w:t xml:space="preserve"> </w:t>
      </w:r>
    </w:p>
    <w:p>
      <w:pPr>
        <w:tabs>
          <w:tab w:val="clear" w:pos="426"/>
        </w:tabs>
        <w:spacing w:line="440" w:lineRule="exact"/>
        <w:rPr>
          <w:spacing w:val="4"/>
          <w:u w:val="single"/>
        </w:rPr>
      </w:pPr>
      <w:r>
        <w:rPr>
          <w:rFonts w:hint="eastAsia"/>
          <w:spacing w:val="4"/>
        </w:rPr>
        <w:t>职务：</w:t>
      </w:r>
      <w:r>
        <w:rPr>
          <w:spacing w:val="4"/>
          <w:u w:val="single"/>
        </w:rPr>
        <w:t xml:space="preserve">     </w:t>
      </w:r>
      <w:r>
        <w:rPr>
          <w:rFonts w:hint="eastAsia"/>
          <w:spacing w:val="4"/>
          <w:u w:val="single"/>
        </w:rPr>
        <w:t xml:space="preserve">                                               </w:t>
      </w:r>
      <w:r>
        <w:rPr>
          <w:spacing w:val="4"/>
          <w:u w:val="single"/>
        </w:rPr>
        <w:t xml:space="preserve">   </w:t>
      </w:r>
    </w:p>
    <w:p>
      <w:pPr>
        <w:tabs>
          <w:tab w:val="clear" w:pos="426"/>
        </w:tabs>
        <w:spacing w:line="440" w:lineRule="exact"/>
        <w:rPr>
          <w:spacing w:val="4"/>
          <w:u w:val="single"/>
        </w:rPr>
      </w:pPr>
      <w:r>
        <w:rPr>
          <w:rFonts w:hint="eastAsia"/>
          <w:spacing w:val="4"/>
        </w:rPr>
        <w:t>日期：</w:t>
      </w:r>
      <w:r>
        <w:rPr>
          <w:spacing w:val="4"/>
          <w:u w:val="single"/>
        </w:rPr>
        <w:t xml:space="preserve">    </w:t>
      </w:r>
      <w:r>
        <w:rPr>
          <w:rFonts w:hint="eastAsia"/>
          <w:spacing w:val="4"/>
          <w:u w:val="single"/>
        </w:rPr>
        <w:t xml:space="preserve">                                               </w:t>
      </w:r>
      <w:r>
        <w:rPr>
          <w:spacing w:val="4"/>
          <w:u w:val="single"/>
        </w:rPr>
        <w:t xml:space="preserve">    </w:t>
      </w:r>
    </w:p>
    <w:p>
      <w:pPr>
        <w:tabs>
          <w:tab w:val="clear" w:pos="426"/>
        </w:tabs>
        <w:spacing w:line="440" w:lineRule="exact"/>
        <w:rPr>
          <w:rFonts w:cs="Times New Roman"/>
          <w:bCs/>
          <w:kern w:val="2"/>
          <w:sz w:val="32"/>
          <w:szCs w:val="32"/>
        </w:rPr>
      </w:pPr>
    </w:p>
    <w:p>
      <w:pPr>
        <w:tabs>
          <w:tab w:val="clear" w:pos="426"/>
        </w:tabs>
        <w:spacing w:line="500" w:lineRule="exact"/>
        <w:rPr>
          <w:sz w:val="24"/>
        </w:rPr>
      </w:pPr>
    </w:p>
    <w:p>
      <w:pPr>
        <w:numPr>
          <w:ilvl w:val="0"/>
          <w:numId w:val="34"/>
        </w:numPr>
        <w:adjustRightInd/>
        <w:snapToGrid/>
        <w:spacing w:before="280" w:after="290" w:line="377" w:lineRule="auto"/>
        <w:outlineLvl w:val="2"/>
        <w:rPr>
          <w:rFonts w:cs="Times New Roman"/>
          <w:bCs/>
          <w:kern w:val="2"/>
          <w:sz w:val="32"/>
          <w:szCs w:val="32"/>
        </w:rPr>
      </w:pPr>
      <w:r>
        <w:br w:type="page"/>
      </w:r>
      <w:r>
        <w:rPr>
          <w:rFonts w:hint="eastAsia"/>
          <w:b/>
          <w:sz w:val="24"/>
        </w:rPr>
        <w:t>招标代理服务费承诺书</w:t>
      </w:r>
      <w:bookmarkStart w:id="77" w:name="_Toc275865624"/>
      <w:bookmarkStart w:id="78" w:name="_Toc480789488"/>
      <w:bookmarkStart w:id="79" w:name="_Toc480756084"/>
      <w:bookmarkStart w:id="80" w:name="_Toc480754217"/>
      <w:bookmarkStart w:id="81" w:name="_Toc480755938"/>
    </w:p>
    <w:p>
      <w:pPr>
        <w:adjustRightInd/>
        <w:snapToGrid/>
        <w:spacing w:before="280" w:after="290" w:line="377" w:lineRule="auto"/>
        <w:jc w:val="center"/>
        <w:rPr>
          <w:rFonts w:cs="Times New Roman"/>
          <w:bCs/>
          <w:kern w:val="2"/>
          <w:sz w:val="32"/>
          <w:szCs w:val="32"/>
        </w:rPr>
      </w:pPr>
      <w:r>
        <w:rPr>
          <w:rFonts w:hint="eastAsia" w:cs="Times New Roman"/>
          <w:bCs/>
          <w:kern w:val="2"/>
          <w:sz w:val="32"/>
          <w:szCs w:val="32"/>
        </w:rPr>
        <w:t>招标代理服务费承诺书</w:t>
      </w:r>
      <w:bookmarkEnd w:id="77"/>
      <w:bookmarkEnd w:id="78"/>
      <w:bookmarkEnd w:id="79"/>
      <w:bookmarkEnd w:id="80"/>
      <w:bookmarkEnd w:id="81"/>
    </w:p>
    <w:p>
      <w:pPr>
        <w:tabs>
          <w:tab w:val="clear" w:pos="426"/>
        </w:tabs>
        <w:adjustRightInd/>
        <w:snapToGrid/>
        <w:rPr>
          <w:b/>
        </w:rPr>
      </w:pPr>
    </w:p>
    <w:p>
      <w:pPr>
        <w:tabs>
          <w:tab w:val="clear" w:pos="426"/>
        </w:tabs>
        <w:adjustRightInd/>
        <w:snapToGrid/>
        <w:rPr>
          <w:b/>
        </w:rPr>
      </w:pPr>
      <w:r>
        <w:rPr>
          <w:rFonts w:hint="eastAsia"/>
          <w:b/>
        </w:rPr>
        <w:t>深圳市深水水务咨询有限公司：</w:t>
      </w:r>
    </w:p>
    <w:p>
      <w:pPr>
        <w:tabs>
          <w:tab w:val="clear" w:pos="426"/>
        </w:tabs>
        <w:adjustRightInd/>
        <w:snapToGrid/>
        <w:ind w:firstLine="420" w:firstLineChars="200"/>
        <w:rPr>
          <w:szCs w:val="21"/>
        </w:rPr>
      </w:pPr>
      <w:r>
        <w:rPr>
          <w:rFonts w:hint="eastAsia"/>
        </w:rPr>
        <w:t>本公司</w:t>
      </w:r>
      <w:r>
        <w:rPr>
          <w:rFonts w:hint="eastAsia"/>
          <w:u w:val="single"/>
        </w:rPr>
        <w:t xml:space="preserve">  (投标人名称)  </w:t>
      </w:r>
      <w:r>
        <w:rPr>
          <w:rFonts w:hint="eastAsia"/>
        </w:rPr>
        <w:t>在参加</w:t>
      </w:r>
      <w:r>
        <w:rPr>
          <w:rFonts w:hint="eastAsia"/>
          <w:u w:val="single"/>
        </w:rPr>
        <w:t xml:space="preserve"> </w:t>
      </w:r>
      <w:r>
        <w:rPr>
          <w:rFonts w:hint="eastAsia"/>
          <w:b/>
          <w:u w:val="single"/>
        </w:rPr>
        <w:t xml:space="preserve"> </w:t>
      </w:r>
      <w:r>
        <w:rPr>
          <w:rFonts w:hint="eastAsia"/>
          <w:u w:val="single"/>
        </w:rPr>
        <w:t xml:space="preserve">（项目名称） </w:t>
      </w:r>
      <w:r>
        <w:rPr>
          <w:rFonts w:hint="eastAsia"/>
          <w:b/>
          <w:u w:val="single"/>
        </w:rPr>
        <w:t xml:space="preserve"> </w:t>
      </w:r>
      <w:r>
        <w:rPr>
          <w:rFonts w:hint="eastAsia"/>
        </w:rPr>
        <w:t>(项目编号：</w:t>
      </w:r>
      <w:r>
        <w:rPr>
          <w:rFonts w:hint="eastAsia"/>
          <w:u w:val="single"/>
        </w:rPr>
        <w:t xml:space="preserve">  （项目编号）  </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pPr>
        <w:tabs>
          <w:tab w:val="clear" w:pos="426"/>
        </w:tabs>
        <w:adjustRightInd/>
        <w:snapToGrid/>
        <w:ind w:firstLine="420" w:firstLineChars="200"/>
      </w:pPr>
      <w:r>
        <w:rPr>
          <w:rFonts w:hint="eastAsia"/>
        </w:rPr>
        <w:t>如我公司违反上款承诺，愿凭贵公司开出的相关通知，同意（采购代理机构名称）办理支付手续，扣除我公司提交的全部投标保证金，并愿承担由此引起的一切法律责任。</w:t>
      </w:r>
    </w:p>
    <w:p>
      <w:pPr>
        <w:tabs>
          <w:tab w:val="clear" w:pos="426"/>
        </w:tabs>
        <w:adjustRightInd/>
        <w:snapToGrid/>
        <w:ind w:firstLine="420" w:firstLineChars="200"/>
      </w:pPr>
      <w:r>
        <w:rPr>
          <w:rFonts w:hint="eastAsia"/>
        </w:rPr>
        <w:t>特此承诺!</w:t>
      </w:r>
    </w:p>
    <w:p>
      <w:pPr>
        <w:tabs>
          <w:tab w:val="clear" w:pos="426"/>
        </w:tabs>
        <w:spacing w:line="520" w:lineRule="exact"/>
        <w:ind w:left="424" w:leftChars="202"/>
        <w:rPr>
          <w:u w:val="single"/>
        </w:rPr>
      </w:pPr>
      <w:r>
        <w:rPr>
          <w:rFonts w:hint="eastAsia"/>
        </w:rPr>
        <w:t>投标人名称(盖公章):</w:t>
      </w:r>
      <w:r>
        <w:rPr>
          <w:rFonts w:hint="eastAsia"/>
          <w:u w:val="single"/>
        </w:rPr>
        <w:t xml:space="preserve">                                                      </w:t>
      </w:r>
    </w:p>
    <w:p>
      <w:pPr>
        <w:tabs>
          <w:tab w:val="clear" w:pos="426"/>
        </w:tabs>
        <w:spacing w:line="520" w:lineRule="exact"/>
        <w:ind w:left="424" w:leftChars="202"/>
        <w:rPr>
          <w:u w:val="single"/>
        </w:rPr>
      </w:pPr>
      <w:r>
        <w:rPr>
          <w:rFonts w:hint="eastAsia"/>
        </w:rPr>
        <w:t>投标人地址:</w:t>
      </w:r>
      <w:r>
        <w:rPr>
          <w:rFonts w:hint="eastAsia"/>
          <w:u w:val="single"/>
        </w:rPr>
        <w:t xml:space="preserve">                                                              </w:t>
      </w:r>
    </w:p>
    <w:p>
      <w:pPr>
        <w:tabs>
          <w:tab w:val="clear" w:pos="426"/>
        </w:tabs>
        <w:spacing w:line="520" w:lineRule="exact"/>
        <w:ind w:left="424" w:leftChars="202"/>
      </w:pPr>
      <w:r>
        <w:rPr>
          <w:rFonts w:hint="eastAsia"/>
        </w:rPr>
        <w:t>电话:</w:t>
      </w:r>
      <w:r>
        <w:rPr>
          <w:rFonts w:hint="eastAsia"/>
          <w:u w:val="single"/>
        </w:rPr>
        <w:t xml:space="preserve">                                                                    </w:t>
      </w:r>
    </w:p>
    <w:p>
      <w:pPr>
        <w:tabs>
          <w:tab w:val="clear" w:pos="426"/>
        </w:tabs>
        <w:spacing w:line="520" w:lineRule="exact"/>
        <w:ind w:left="424" w:leftChars="202"/>
      </w:pPr>
      <w:r>
        <w:rPr>
          <w:rFonts w:hint="eastAsia"/>
        </w:rPr>
        <w:t>传真:</w:t>
      </w:r>
      <w:r>
        <w:rPr>
          <w:rFonts w:hint="eastAsia"/>
          <w:u w:val="single"/>
        </w:rPr>
        <w:t xml:space="preserve">                                                                    </w:t>
      </w:r>
    </w:p>
    <w:p>
      <w:pPr>
        <w:tabs>
          <w:tab w:val="clear" w:pos="426"/>
        </w:tabs>
        <w:spacing w:line="520" w:lineRule="exact"/>
        <w:ind w:left="424" w:leftChars="202"/>
        <w:rPr>
          <w:u w:val="single"/>
        </w:rPr>
      </w:pPr>
      <w:r>
        <w:rPr>
          <w:rFonts w:hint="eastAsia"/>
        </w:rPr>
        <w:t>法定代表人或投标人授权代表（签名或盖章）</w:t>
      </w:r>
      <w:r>
        <w:rPr>
          <w:rFonts w:hint="eastAsia"/>
          <w:u w:val="single"/>
        </w:rPr>
        <w:t xml:space="preserve">                                 </w:t>
      </w:r>
    </w:p>
    <w:p>
      <w:pPr>
        <w:tabs>
          <w:tab w:val="clear" w:pos="426"/>
        </w:tabs>
        <w:spacing w:line="520" w:lineRule="exact"/>
        <w:ind w:left="424" w:leftChars="202"/>
        <w:rPr>
          <w:u w:val="single"/>
        </w:rPr>
      </w:pPr>
    </w:p>
    <w:p>
      <w:pPr>
        <w:tabs>
          <w:tab w:val="clear" w:pos="426"/>
        </w:tabs>
        <w:spacing w:line="520" w:lineRule="exact"/>
        <w:ind w:left="424" w:leftChars="202"/>
      </w:pPr>
    </w:p>
    <w:p>
      <w:pPr>
        <w:tabs>
          <w:tab w:val="clear" w:pos="426"/>
        </w:tabs>
        <w:spacing w:line="520" w:lineRule="exact"/>
        <w:ind w:left="424" w:leftChars="202"/>
      </w:pPr>
    </w:p>
    <w:p>
      <w:pPr>
        <w:tabs>
          <w:tab w:val="clear" w:pos="426"/>
        </w:tabs>
        <w:spacing w:line="520" w:lineRule="exact"/>
        <w:ind w:left="424" w:leftChars="202"/>
      </w:pPr>
    </w:p>
    <w:p>
      <w:pPr>
        <w:widowControl w:val="0"/>
        <w:shd w:val="clear" w:color="auto" w:fill="auto"/>
        <w:tabs>
          <w:tab w:val="clear" w:pos="426"/>
        </w:tabs>
        <w:adjustRightInd/>
        <w:snapToGrid/>
        <w:spacing w:line="300" w:lineRule="auto"/>
        <w:jc w:val="center"/>
        <w:rPr>
          <w:rFonts w:cs="Times New Roman"/>
          <w:bCs/>
          <w:kern w:val="2"/>
          <w:sz w:val="32"/>
          <w:szCs w:val="32"/>
        </w:rPr>
      </w:pPr>
    </w:p>
    <w:p>
      <w:pPr>
        <w:shd w:val="clear" w:color="auto" w:fill="auto"/>
        <w:tabs>
          <w:tab w:val="clear" w:pos="426"/>
        </w:tabs>
        <w:adjustRightInd/>
        <w:snapToGrid/>
        <w:spacing w:line="240" w:lineRule="auto"/>
        <w:jc w:val="left"/>
        <w:rPr>
          <w:rFonts w:cs="Times New Roman"/>
          <w:bCs/>
          <w:kern w:val="2"/>
          <w:sz w:val="32"/>
          <w:szCs w:val="32"/>
        </w:rPr>
      </w:pPr>
      <w:r>
        <w:rPr>
          <w:rFonts w:cs="Times New Roman"/>
          <w:bCs/>
          <w:kern w:val="2"/>
          <w:sz w:val="32"/>
          <w:szCs w:val="32"/>
        </w:rPr>
        <w:br w:type="page"/>
      </w:r>
    </w:p>
    <w:p>
      <w:pPr>
        <w:widowControl w:val="0"/>
        <w:shd w:val="clear" w:color="auto" w:fill="auto"/>
        <w:tabs>
          <w:tab w:val="clear" w:pos="426"/>
        </w:tabs>
        <w:adjustRightInd/>
        <w:snapToGrid/>
        <w:spacing w:line="300" w:lineRule="auto"/>
        <w:jc w:val="center"/>
        <w:rPr>
          <w:rFonts w:cs="Times New Roman"/>
          <w:bCs/>
          <w:kern w:val="2"/>
          <w:sz w:val="32"/>
          <w:szCs w:val="32"/>
        </w:rPr>
      </w:pPr>
    </w:p>
    <w:p>
      <w:pPr>
        <w:widowControl w:val="0"/>
        <w:shd w:val="clear" w:color="auto" w:fill="auto"/>
        <w:tabs>
          <w:tab w:val="clear" w:pos="426"/>
        </w:tabs>
        <w:adjustRightInd/>
        <w:snapToGrid/>
        <w:spacing w:line="300" w:lineRule="auto"/>
        <w:jc w:val="center"/>
        <w:rPr>
          <w:rFonts w:cs="Times New Roman"/>
          <w:bCs/>
          <w:kern w:val="2"/>
          <w:sz w:val="32"/>
          <w:szCs w:val="32"/>
        </w:rPr>
      </w:pPr>
      <w:r>
        <w:rPr>
          <w:rFonts w:hint="eastAsia" w:cs="Times New Roman"/>
          <w:bCs/>
          <w:kern w:val="2"/>
          <w:sz w:val="32"/>
          <w:szCs w:val="32"/>
        </w:rPr>
        <w:t>招标代理服务费发票开具须知</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159" w:type="dxa"/>
            <w:vAlign w:val="center"/>
          </w:tcPr>
          <w:p>
            <w:pPr>
              <w:tabs>
                <w:tab w:val="clear" w:pos="426"/>
              </w:tabs>
              <w:spacing w:line="520" w:lineRule="exact"/>
              <w:rPr>
                <w:b/>
              </w:rPr>
            </w:pPr>
            <w:r>
              <w:rPr>
                <w:rFonts w:hint="eastAsia"/>
                <w:b/>
              </w:rPr>
              <w:t>发票类型</w:t>
            </w:r>
          </w:p>
        </w:tc>
        <w:tc>
          <w:tcPr>
            <w:tcW w:w="7363" w:type="dxa"/>
            <w:vAlign w:val="center"/>
          </w:tcPr>
          <w:p>
            <w:pPr>
              <w:tabs>
                <w:tab w:val="clear" w:pos="426"/>
              </w:tabs>
              <w:spacing w:line="520" w:lineRule="exact"/>
              <w:ind w:firstLine="420" w:firstLineChars="200"/>
            </w:pPr>
            <w:r>
              <w:rPr>
                <w:rFonts w:hint="eastAsia"/>
              </w:rPr>
              <w:t>□增值税普通发票          □增值税专用发票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8522" w:type="dxa"/>
            <w:gridSpan w:val="2"/>
            <w:vAlign w:val="center"/>
          </w:tcPr>
          <w:p>
            <w:pPr>
              <w:tabs>
                <w:tab w:val="clear" w:pos="426"/>
              </w:tabs>
              <w:spacing w:line="520" w:lineRule="exact"/>
            </w:pPr>
            <w:r>
              <w:rPr>
                <w:rFonts w:hint="eastAsia"/>
              </w:rPr>
              <w:t>如选择增值税专用发票，需提供以下材料，投标时密封于开标信封中：</w:t>
            </w:r>
          </w:p>
          <w:p>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pPr>
        <w:tabs>
          <w:tab w:val="clear" w:pos="426"/>
        </w:tabs>
        <w:rPr>
          <w:b/>
          <w:szCs w:val="21"/>
        </w:rPr>
      </w:pPr>
      <w:r>
        <w:rPr>
          <w:rFonts w:hint="eastAsia"/>
          <w:b/>
          <w:sz w:val="84"/>
          <w:szCs w:val="84"/>
          <w:u w:val="dashedHeavy"/>
        </w:rPr>
        <w:t xml:space="preserve">                      </w:t>
      </w:r>
      <w:r>
        <w:rPr>
          <w:rFonts w:hint="eastAsia"/>
          <w:b/>
          <w:szCs w:val="21"/>
        </w:rPr>
        <w:t xml:space="preserve"> </w:t>
      </w:r>
    </w:p>
    <w:p>
      <w:pPr>
        <w:tabs>
          <w:tab w:val="clear" w:pos="426"/>
        </w:tabs>
        <w:rPr>
          <w:b/>
          <w:szCs w:val="21"/>
        </w:rPr>
      </w:pPr>
    </w:p>
    <w:p>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Style w:val="44"/>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5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rPr>
            </w:pPr>
            <w:r>
              <w:rPr>
                <w:b/>
                <w:szCs w:val="21"/>
              </w:rPr>
              <w:t>收款人名称</w:t>
            </w:r>
          </w:p>
        </w:tc>
        <w:tc>
          <w:tcPr>
            <w:tcW w:w="5579" w:type="dxa"/>
            <w:vAlign w:val="center"/>
          </w:tcPr>
          <w:p>
            <w:pPr>
              <w:tabs>
                <w:tab w:val="clear" w:pos="426"/>
              </w:tabs>
              <w:spacing w:line="240" w:lineRule="auto"/>
              <w:jc w:val="center"/>
              <w:rPr>
                <w:szCs w:val="21"/>
              </w:rPr>
            </w:pPr>
            <w:r>
              <w:rPr>
                <w:rFonts w:hint="eastAsia"/>
                <w:szCs w:val="21"/>
              </w:rPr>
              <w:t>深圳市深水水务咨询有限公司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rPr>
            </w:pPr>
            <w:r>
              <w:rPr>
                <w:b/>
                <w:szCs w:val="21"/>
              </w:rPr>
              <w:t>开户银行</w:t>
            </w:r>
          </w:p>
        </w:tc>
        <w:tc>
          <w:tcPr>
            <w:tcW w:w="5579" w:type="dxa"/>
            <w:vAlign w:val="center"/>
          </w:tcPr>
          <w:p>
            <w:pPr>
              <w:tabs>
                <w:tab w:val="clear" w:pos="426"/>
              </w:tabs>
              <w:spacing w:line="240" w:lineRule="auto"/>
              <w:jc w:val="center"/>
              <w:rPr>
                <w:b/>
                <w:szCs w:val="21"/>
              </w:rPr>
            </w:pPr>
            <w:r>
              <w:rPr>
                <w:rFonts w:hint="eastAsia"/>
              </w:rPr>
              <w:t>中国工商银行深圳红围支行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rPr>
            </w:pPr>
            <w:r>
              <w:rPr>
                <w:rFonts w:hint="eastAsia"/>
                <w:b/>
                <w:szCs w:val="21"/>
              </w:rPr>
              <w:t>账</w:t>
            </w:r>
            <w:r>
              <w:rPr>
                <w:b/>
                <w:szCs w:val="21"/>
              </w:rPr>
              <w:t xml:space="preserve">    号</w:t>
            </w:r>
          </w:p>
        </w:tc>
        <w:tc>
          <w:tcPr>
            <w:tcW w:w="5579" w:type="dxa"/>
            <w:vAlign w:val="center"/>
          </w:tcPr>
          <w:p>
            <w:pPr>
              <w:tabs>
                <w:tab w:val="clear" w:pos="426"/>
              </w:tabs>
              <w:spacing w:line="240" w:lineRule="auto"/>
              <w:jc w:val="center"/>
              <w:rPr>
                <w:b/>
                <w:szCs w:val="21"/>
              </w:rPr>
            </w:pPr>
            <w:r>
              <w:rPr>
                <w:rFonts w:hint="eastAsia"/>
              </w:rPr>
              <w:t>4000021219200366130</w:t>
            </w:r>
          </w:p>
        </w:tc>
      </w:tr>
    </w:tbl>
    <w:p>
      <w:pPr>
        <w:tabs>
          <w:tab w:val="clear" w:pos="426"/>
        </w:tabs>
        <w:rPr>
          <w:rFonts w:cs="Arial"/>
          <w:bCs/>
          <w:sz w:val="24"/>
        </w:rPr>
      </w:pPr>
    </w:p>
    <w:p>
      <w:pPr>
        <w:tabs>
          <w:tab w:val="clear" w:pos="426"/>
        </w:tabs>
        <w:spacing w:line="440" w:lineRule="exact"/>
        <w:rPr>
          <w:spacing w:val="4"/>
          <w:u w:val="single"/>
        </w:rPr>
      </w:pPr>
    </w:p>
    <w:p>
      <w:pPr>
        <w:numPr>
          <w:ilvl w:val="0"/>
          <w:numId w:val="34"/>
        </w:numPr>
        <w:adjustRightInd/>
        <w:snapToGrid/>
        <w:spacing w:before="280" w:after="290" w:line="377" w:lineRule="auto"/>
        <w:outlineLvl w:val="2"/>
        <w:rPr>
          <w:b/>
          <w:sz w:val="24"/>
        </w:rPr>
      </w:pPr>
      <w:r>
        <w:rPr>
          <w:spacing w:val="4"/>
          <w:u w:val="single"/>
        </w:rPr>
        <w:br w:type="page"/>
      </w:r>
      <w:bookmarkEnd w:id="67"/>
      <w:bookmarkEnd w:id="68"/>
      <w:bookmarkEnd w:id="69"/>
      <w:bookmarkEnd w:id="70"/>
      <w:r>
        <w:rPr>
          <w:rFonts w:hint="eastAsia"/>
          <w:b/>
          <w:bCs/>
          <w:sz w:val="24"/>
        </w:rPr>
        <w:t>招标文件要求的其他内容及投标人认为需要加以说明的其他内容</w:t>
      </w:r>
    </w:p>
    <w:p>
      <w:pPr>
        <w:tabs>
          <w:tab w:val="clear" w:pos="426"/>
        </w:tabs>
        <w:adjustRightInd/>
        <w:snapToGrid/>
        <w:ind w:firstLine="420" w:firstLineChars="200"/>
      </w:pPr>
      <w:bookmarkStart w:id="82" w:name="_Toc398220528"/>
      <w:r>
        <w:rPr>
          <w:rFonts w:hint="eastAsia"/>
        </w:rPr>
        <w:t>提供招标公告和评标信息中关于投标人的其他相关证明文件（如评标信息中涉及的各种证件（身份证除外）、设备发票等，未涉及的可以不提供）。</w:t>
      </w:r>
    </w:p>
    <w:p>
      <w:pPr>
        <w:tabs>
          <w:tab w:val="clear" w:pos="426"/>
        </w:tabs>
      </w:pPr>
    </w:p>
    <w:p>
      <w:pPr>
        <w:tabs>
          <w:tab w:val="clear" w:pos="426"/>
        </w:tabs>
      </w:pPr>
    </w:p>
    <w:p>
      <w:pPr>
        <w:pStyle w:val="42"/>
        <w:tabs>
          <w:tab w:val="clear" w:pos="426"/>
        </w:tabs>
      </w:pPr>
      <w:r>
        <w:br w:type="page"/>
      </w:r>
      <w:bookmarkStart w:id="83" w:name="_Toc3628663"/>
      <w:r>
        <w:rPr>
          <w:rFonts w:hint="eastAsia"/>
        </w:rPr>
        <w:t>第二册  通用条款</w:t>
      </w:r>
      <w:bookmarkEnd w:id="82"/>
      <w:bookmarkEnd w:id="83"/>
    </w:p>
    <w:p>
      <w:pPr>
        <w:jc w:val="center"/>
        <w:rPr>
          <w:b/>
        </w:rPr>
      </w:pPr>
      <w:bookmarkStart w:id="84" w:name="_Toc432592821"/>
      <w:bookmarkStart w:id="85" w:name="_Toc398220529"/>
      <w:r>
        <w:rPr>
          <w:rFonts w:hint="eastAsia"/>
          <w:b/>
        </w:rPr>
        <w:t>（投标人须知）</w:t>
      </w:r>
    </w:p>
    <w:p>
      <w:pPr>
        <w:pStyle w:val="6"/>
      </w:pPr>
      <w:bookmarkStart w:id="86" w:name="_Toc3628664"/>
      <w:r>
        <w:rPr>
          <w:rFonts w:hint="eastAsia"/>
        </w:rPr>
        <w:t>第一章 总则</w:t>
      </w:r>
      <w:bookmarkEnd w:id="84"/>
      <w:bookmarkEnd w:id="85"/>
      <w:bookmarkEnd w:id="86"/>
    </w:p>
    <w:p>
      <w:pPr>
        <w:tabs>
          <w:tab w:val="clear" w:pos="426"/>
        </w:tabs>
      </w:pPr>
      <w:r>
        <w:rPr>
          <w:rFonts w:hint="eastAsia"/>
        </w:rPr>
        <w:t>1.通用条款说明</w:t>
      </w:r>
    </w:p>
    <w:p>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pPr>
        <w:tabs>
          <w:tab w:val="clear" w:pos="426"/>
        </w:tabs>
      </w:pPr>
      <w:bookmarkStart w:id="87" w:name="_Toc73521637"/>
      <w:bookmarkStart w:id="88" w:name="_Toc73518119"/>
      <w:bookmarkStart w:id="89" w:name="_Toc60631622"/>
      <w:bookmarkStart w:id="90" w:name="_Toc60560627"/>
      <w:bookmarkStart w:id="91" w:name="_Toc73517641"/>
      <w:bookmarkStart w:id="92" w:name="_Toc100052366"/>
      <w:bookmarkStart w:id="93" w:name="_Toc73521549"/>
      <w:bookmarkStart w:id="94" w:name="_Toc73517643"/>
      <w:bookmarkStart w:id="95" w:name="_Toc73521639"/>
      <w:bookmarkStart w:id="96" w:name="_Toc73518121"/>
      <w:bookmarkStart w:id="97" w:name="_Toc73521551"/>
      <w:bookmarkStart w:id="98" w:name="_Toc60631624"/>
      <w:bookmarkStart w:id="99" w:name="_Toc100052368"/>
      <w:bookmarkStart w:id="100" w:name="_Toc60560629"/>
      <w:r>
        <w:rPr>
          <w:rFonts w:hint="eastAsia"/>
        </w:rPr>
        <w:t>2</w:t>
      </w:r>
      <w:r>
        <w:t>．</w:t>
      </w:r>
      <w:r>
        <w:rPr>
          <w:rFonts w:hint="eastAsia"/>
        </w:rPr>
        <w:t>招标说明</w:t>
      </w:r>
      <w:bookmarkEnd w:id="87"/>
      <w:bookmarkEnd w:id="88"/>
      <w:bookmarkEnd w:id="89"/>
      <w:bookmarkEnd w:id="90"/>
      <w:bookmarkEnd w:id="91"/>
      <w:bookmarkEnd w:id="92"/>
      <w:bookmarkEnd w:id="93"/>
    </w:p>
    <w:p>
      <w:pPr>
        <w:tabs>
          <w:tab w:val="clear" w:pos="426"/>
        </w:tabs>
        <w:rPr>
          <w:color w:val="000000"/>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szCs w:val="21"/>
        </w:rPr>
        <w:t>本招标文件适用于</w:t>
      </w:r>
      <w:r>
        <w:rPr>
          <w:rFonts w:hint="eastAsia"/>
          <w:szCs w:val="21"/>
        </w:rPr>
        <w:t>采购公告中所述项目的</w:t>
      </w:r>
      <w:r>
        <w:rPr>
          <w:rFonts w:hint="eastAsia"/>
          <w:color w:val="000000"/>
          <w:szCs w:val="21"/>
        </w:rPr>
        <w:t>政府采购。</w:t>
      </w:r>
    </w:p>
    <w:p>
      <w:pPr>
        <w:tabs>
          <w:tab w:val="clear" w:pos="426"/>
        </w:tabs>
        <w:rPr>
          <w:color w:val="000000"/>
          <w:szCs w:val="21"/>
        </w:rPr>
      </w:pPr>
      <w:r>
        <w:rPr>
          <w:rFonts w:hint="eastAsia"/>
          <w:color w:val="000000"/>
          <w:szCs w:val="21"/>
        </w:rPr>
        <w:t>本招标文件的解释权归属深圳市深水水务咨询有限公司。</w:t>
      </w:r>
    </w:p>
    <w:p>
      <w:pPr>
        <w:tabs>
          <w:tab w:val="clear" w:pos="426"/>
        </w:tabs>
      </w:pPr>
      <w:bookmarkStart w:id="101" w:name="_Toc73518120"/>
      <w:bookmarkStart w:id="102" w:name="_Toc73521638"/>
      <w:bookmarkStart w:id="103" w:name="_Toc100052367"/>
      <w:bookmarkStart w:id="104" w:name="_Toc73521550"/>
      <w:bookmarkStart w:id="105" w:name="_Toc60560628"/>
      <w:bookmarkStart w:id="106" w:name="_Toc73517642"/>
      <w:bookmarkStart w:id="107" w:name="_Toc60631623"/>
      <w:r>
        <w:rPr>
          <w:rFonts w:hint="eastAsia"/>
        </w:rPr>
        <w:t>3．定义</w:t>
      </w:r>
      <w:bookmarkEnd w:id="101"/>
      <w:bookmarkEnd w:id="102"/>
      <w:bookmarkEnd w:id="103"/>
      <w:bookmarkEnd w:id="104"/>
      <w:bookmarkEnd w:id="105"/>
      <w:bookmarkEnd w:id="106"/>
      <w:bookmarkEnd w:id="107"/>
    </w:p>
    <w:p>
      <w:pPr>
        <w:tabs>
          <w:tab w:val="clear" w:pos="426"/>
        </w:tabs>
      </w:pPr>
      <w:r>
        <w:t>招标文件中下列术语应解释为：</w:t>
      </w:r>
    </w:p>
    <w:p>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深圳市深水水务咨询有限公司；</w:t>
      </w:r>
    </w:p>
    <w:p>
      <w:pPr>
        <w:tabs>
          <w:tab w:val="clear" w:pos="426"/>
        </w:tabs>
      </w:pPr>
      <w:r>
        <w:rPr>
          <w:rFonts w:hint="eastAsia"/>
        </w:rPr>
        <w:t xml:space="preserve">3.2“采购人”或“采购单位”：系指利用财政性资金依法进行政府采购的国家机关、事业单位、团体组织； </w:t>
      </w:r>
    </w:p>
    <w:p>
      <w:pPr>
        <w:tabs>
          <w:tab w:val="clear" w:pos="426"/>
        </w:tabs>
      </w:pPr>
      <w:r>
        <w:rPr>
          <w:rFonts w:hint="eastAsia"/>
        </w:rPr>
        <w:t>3.3“投标人”或“投标方”，即供应商，是指参加投标竞争并愿意按照招标文件要求向采购人提供货物、工程或者服务的依法成立的法人、其他组织或者自然人；</w:t>
      </w:r>
    </w:p>
    <w:p>
      <w:pPr>
        <w:tabs>
          <w:tab w:val="clear" w:pos="426"/>
        </w:tabs>
      </w:pPr>
      <w:r>
        <w:rPr>
          <w:rFonts w:hint="eastAsia"/>
        </w:rPr>
        <w:t>3.4“评标委员会”和“谈判小组”是依据《深圳经济特区政府采购条例》有关规定组建的专门负责本次招标其评标（谈判）工作的临时性机构；</w:t>
      </w:r>
    </w:p>
    <w:p>
      <w:pPr>
        <w:tabs>
          <w:tab w:val="clear" w:pos="426"/>
        </w:tabs>
      </w:pPr>
      <w:r>
        <w:rPr>
          <w:rFonts w:hint="eastAsia"/>
        </w:rPr>
        <w:t>3.5“日期”</w:t>
      </w:r>
      <w:r>
        <w:t>指</w:t>
      </w:r>
      <w:r>
        <w:rPr>
          <w:rFonts w:hint="eastAsia"/>
        </w:rPr>
        <w:t>公历日；</w:t>
      </w:r>
    </w:p>
    <w:p>
      <w:pPr>
        <w:tabs>
          <w:tab w:val="clear" w:pos="426"/>
        </w:tabs>
      </w:pPr>
      <w:r>
        <w:rPr>
          <w:rFonts w:hint="eastAsia"/>
        </w:rPr>
        <w:t>3.6“合同”指由本次招标所产生的合同或合约文件；</w:t>
      </w:r>
    </w:p>
    <w:p>
      <w:pPr>
        <w:tabs>
          <w:tab w:val="clear" w:pos="426"/>
        </w:tabs>
      </w:pPr>
      <w:r>
        <w:rPr>
          <w:rFonts w:hint="eastAsia"/>
        </w:rPr>
        <w:t>3.7招标文件中的标题或题名仅起引导作用，而不应视为对招标文件内容的理解和解释。</w:t>
      </w:r>
    </w:p>
    <w:p>
      <w:pPr>
        <w:tabs>
          <w:tab w:val="clear" w:pos="426"/>
        </w:tabs>
      </w:pPr>
      <w:r>
        <w:rPr>
          <w:rFonts w:hint="eastAsia"/>
        </w:rPr>
        <w:t>4. 政府采购供应商责任</w:t>
      </w:r>
    </w:p>
    <w:p>
      <w:pPr>
        <w:tabs>
          <w:tab w:val="clear" w:pos="426"/>
        </w:tabs>
      </w:pPr>
      <w:r>
        <w:rPr>
          <w:rFonts w:hint="eastAsia"/>
        </w:rPr>
        <w:t>4.1欢迎诚信、有实力和有社会责任心的供应商参与政府采购事业。</w:t>
      </w:r>
    </w:p>
    <w:p>
      <w:pPr>
        <w:tabs>
          <w:tab w:val="clear" w:pos="426"/>
        </w:tabs>
      </w:pPr>
      <w:r>
        <w:rPr>
          <w:rFonts w:hint="eastAsia"/>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pPr>
        <w:tabs>
          <w:tab w:val="clear" w:pos="426"/>
        </w:tabs>
      </w:pPr>
      <w:r>
        <w:rPr>
          <w:rFonts w:hint="eastAsia"/>
        </w:rPr>
        <w:t>5．</w:t>
      </w:r>
      <w:bookmarkEnd w:id="94"/>
      <w:bookmarkEnd w:id="95"/>
      <w:bookmarkEnd w:id="96"/>
      <w:bookmarkEnd w:id="97"/>
      <w:bookmarkEnd w:id="98"/>
      <w:bookmarkEnd w:id="99"/>
      <w:bookmarkEnd w:id="100"/>
      <w:r>
        <w:rPr>
          <w:rFonts w:hint="eastAsia"/>
        </w:rPr>
        <w:t>合格的投标人</w:t>
      </w:r>
    </w:p>
    <w:p>
      <w:pPr>
        <w:widowControl w:val="0"/>
        <w:shd w:val="clear" w:color="auto" w:fill="auto"/>
        <w:tabs>
          <w:tab w:val="clear" w:pos="426"/>
        </w:tabs>
        <w:autoSpaceDE w:val="0"/>
        <w:autoSpaceDN w:val="0"/>
        <w:rPr>
          <w:szCs w:val="21"/>
        </w:rPr>
      </w:pPr>
      <w:bookmarkStart w:id="108" w:name="_Toc73517645"/>
      <w:bookmarkStart w:id="109" w:name="_Toc73518123"/>
      <w:bookmarkStart w:id="110" w:name="_Toc73521641"/>
      <w:bookmarkStart w:id="111" w:name="_Toc60631626"/>
      <w:bookmarkStart w:id="112" w:name="_Toc100052370"/>
      <w:bookmarkStart w:id="113" w:name="_Toc60560631"/>
      <w:bookmarkStart w:id="114" w:name="_Toc73521553"/>
      <w:r>
        <w:rPr>
          <w:rFonts w:hint="eastAsia"/>
          <w:szCs w:val="21"/>
        </w:rPr>
        <w:t>5.1 投标人是响应招标并且符合招标文件规定资格条件和参加投标竞争的法人、其他组织或者自然人。</w:t>
      </w:r>
    </w:p>
    <w:p>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pPr>
        <w:widowControl w:val="0"/>
        <w:shd w:val="clear" w:color="auto" w:fill="auto"/>
        <w:tabs>
          <w:tab w:val="clear" w:pos="426"/>
        </w:tabs>
        <w:autoSpaceDE w:val="0"/>
        <w:autoSpaceDN w:val="0"/>
        <w:rPr>
          <w:szCs w:val="21"/>
        </w:rPr>
      </w:pPr>
      <w:r>
        <w:rPr>
          <w:rFonts w:hint="eastAsia"/>
          <w:szCs w:val="21"/>
        </w:rPr>
        <w:t xml:space="preserve">5.2.1 </w:t>
      </w:r>
      <w:r>
        <w:rPr>
          <w:szCs w:val="21"/>
        </w:rPr>
        <w:t>具有独立承担民事责任的能力。</w:t>
      </w:r>
    </w:p>
    <w:p>
      <w:pPr>
        <w:widowControl w:val="0"/>
        <w:shd w:val="clear" w:color="auto" w:fill="auto"/>
        <w:tabs>
          <w:tab w:val="clear" w:pos="426"/>
        </w:tabs>
        <w:autoSpaceDE w:val="0"/>
        <w:autoSpaceDN w:val="0"/>
        <w:rPr>
          <w:szCs w:val="21"/>
        </w:rPr>
      </w:pPr>
      <w:r>
        <w:rPr>
          <w:rFonts w:hint="eastAsia"/>
          <w:szCs w:val="21"/>
        </w:rPr>
        <w:t xml:space="preserve">5.2.2 </w:t>
      </w:r>
      <w:r>
        <w:rPr>
          <w:szCs w:val="21"/>
        </w:rPr>
        <w:t>具有良好的商业信誉和健全的财务会计制度</w:t>
      </w:r>
      <w:r>
        <w:rPr>
          <w:rFonts w:hint="eastAsia"/>
          <w:szCs w:val="21"/>
        </w:rPr>
        <w:t>。</w:t>
      </w:r>
    </w:p>
    <w:p>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只有在法律上和财务上独立、合法运作并独立于采购人和政府采购代理机构的供货商才能参加投标。</w:t>
      </w:r>
    </w:p>
    <w:p>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pPr>
        <w:widowControl w:val="0"/>
        <w:shd w:val="clear" w:color="auto" w:fill="auto"/>
        <w:tabs>
          <w:tab w:val="clear" w:pos="426"/>
        </w:tabs>
        <w:autoSpaceDE w:val="0"/>
        <w:autoSpaceDN w:val="0"/>
        <w:rPr>
          <w:szCs w:val="21"/>
        </w:rPr>
      </w:pPr>
      <w:r>
        <w:rPr>
          <w:rFonts w:hint="eastAsia"/>
          <w:szCs w:val="21"/>
        </w:rPr>
        <w:t>5.2.9 符合</w:t>
      </w:r>
      <w:r>
        <w:rPr>
          <w:rFonts w:hint="eastAsia" w:cs="黑体"/>
          <w:szCs w:val="21"/>
        </w:rPr>
        <w:t>第一章采购公告“投标人资格要求”</w:t>
      </w:r>
      <w:r>
        <w:rPr>
          <w:rFonts w:hint="eastAsia"/>
          <w:szCs w:val="21"/>
        </w:rPr>
        <w:t>的条款</w:t>
      </w:r>
      <w:r>
        <w:rPr>
          <w:rFonts w:hint="eastAsia" w:cs="黑体"/>
          <w:szCs w:val="21"/>
        </w:rPr>
        <w:t>。</w:t>
      </w:r>
    </w:p>
    <w:p>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pPr>
        <w:tabs>
          <w:tab w:val="clear" w:pos="426"/>
        </w:tabs>
      </w:pPr>
      <w:r>
        <w:rPr>
          <w:rFonts w:hint="eastAsia"/>
        </w:rPr>
        <w:t>6．联合体投标</w:t>
      </w:r>
    </w:p>
    <w:p>
      <w:pPr>
        <w:tabs>
          <w:tab w:val="clear" w:pos="426"/>
        </w:tabs>
      </w:pPr>
      <w:r>
        <w:rPr>
          <w:rFonts w:hint="eastAsia"/>
        </w:rPr>
        <w:t>6.1　以下有关联合体投标的条款仅适用于允许投标人组成联合体投标的项目。</w:t>
      </w:r>
    </w:p>
    <w:p>
      <w:pPr>
        <w:tabs>
          <w:tab w:val="clear" w:pos="426"/>
        </w:tabs>
      </w:pPr>
      <w:r>
        <w:rPr>
          <w:rFonts w:hint="eastAsia"/>
        </w:rPr>
        <w:t>6.2　由两个或两个以上的自然人、法人或者其他组织可以组成一个联合体，以一个供应商的身份共同投标时，应符合以下原则：</w:t>
      </w:r>
    </w:p>
    <w:p>
      <w:pPr>
        <w:tabs>
          <w:tab w:val="clear" w:pos="426"/>
        </w:tabs>
        <w:rPr>
          <w:color w:val="000000"/>
        </w:rPr>
      </w:pPr>
      <w:r>
        <w:rPr>
          <w:rFonts w:hint="eastAsia"/>
          <w:color w:val="000000"/>
        </w:rPr>
        <w:t>6.2.</w:t>
      </w:r>
      <w:r>
        <w:rPr>
          <w:rFonts w:hint="eastAsia"/>
          <w:bCs/>
          <w:color w:val="000000"/>
        </w:rPr>
        <w:t>1投标联合体应满足采购公告有关投标人资格要求中对联合体的要求；</w:t>
      </w:r>
    </w:p>
    <w:p>
      <w:pPr>
        <w:tabs>
          <w:tab w:val="clear" w:pos="426"/>
        </w:tabs>
        <w:rPr>
          <w:color w:val="000000"/>
        </w:rPr>
      </w:pPr>
      <w:r>
        <w:rPr>
          <w:rFonts w:hint="eastAsia"/>
          <w:color w:val="000000"/>
        </w:rPr>
        <w:t>6.2.2对于采购公告中所要求投标人应具有的某一资质，若联合体各方均具有，则将以联合体各方中最低的资质等级作为联合体在这一资质条件上的资质等级；联合体各方的不同资质可优势互补。</w:t>
      </w:r>
    </w:p>
    <w:p>
      <w:pPr>
        <w:tabs>
          <w:tab w:val="clear" w:pos="426"/>
        </w:tabs>
        <w:rPr>
          <w:color w:val="000000"/>
        </w:rPr>
      </w:pPr>
      <w:r>
        <w:rPr>
          <w:rFonts w:hint="eastAsia"/>
          <w:color w:val="000000"/>
        </w:rPr>
        <w:t>6.2.3投标人的投标文件及中标后签署的合同协议对联合体各方均具法律约束力；</w:t>
      </w:r>
    </w:p>
    <w:p>
      <w:pPr>
        <w:tabs>
          <w:tab w:val="clear" w:pos="426"/>
        </w:tabs>
        <w:rPr>
          <w:color w:val="000000"/>
        </w:rPr>
      </w:pPr>
      <w:r>
        <w:rPr>
          <w:rFonts w:hint="eastAsia"/>
          <w:color w:val="000000"/>
        </w:rPr>
        <w:t>6.2.4联合体各方应当签订共同投标协议，明确约定各方拟承担的工作和责任，并将该共同投标协议随投标文件一并递交给政府采购代理机构；</w:t>
      </w:r>
    </w:p>
    <w:p>
      <w:pPr>
        <w:tabs>
          <w:tab w:val="clear" w:pos="426"/>
        </w:tabs>
        <w:rPr>
          <w:color w:val="000000"/>
        </w:rPr>
      </w:pPr>
      <w:r>
        <w:rPr>
          <w:rFonts w:hint="eastAsia"/>
          <w:color w:val="000000"/>
        </w:rPr>
        <w:t>6.2.5联合体的各方应当共同推荐一联合体投标授权代表人，由联合体各方提交一份授权书，证明其有资格代表联合体各方签署投标文件，该授权书作为投标文件的组成部分一并提交给政府采购代理机构；</w:t>
      </w:r>
    </w:p>
    <w:p>
      <w:pPr>
        <w:tabs>
          <w:tab w:val="clear" w:pos="426"/>
        </w:tabs>
        <w:rPr>
          <w:color w:val="000000"/>
        </w:rPr>
      </w:pPr>
      <w:r>
        <w:rPr>
          <w:rFonts w:hint="eastAsia"/>
          <w:color w:val="000000"/>
        </w:rPr>
        <w:t>6.2.6参加联合体的各方不得再以自己的名义单独投标，不得同时参加两个或两个以上的联合体投标、不得以分包商或其它形式参与投标，出现上述情况者，其投标和与此有关联合体、总包单位的投标将被拒绝；</w:t>
      </w:r>
    </w:p>
    <w:p>
      <w:pPr>
        <w:tabs>
          <w:tab w:val="clear" w:pos="426"/>
        </w:tabs>
        <w:rPr>
          <w:color w:val="000000"/>
        </w:rPr>
      </w:pPr>
      <w:r>
        <w:rPr>
          <w:rFonts w:hint="eastAsia"/>
          <w:color w:val="000000"/>
        </w:rPr>
        <w:t>6.2.7除非另有规定或说明，本须知中“投标人”一词亦指联合体各方。</w:t>
      </w:r>
    </w:p>
    <w:p>
      <w:pPr>
        <w:tabs>
          <w:tab w:val="clear" w:pos="426"/>
        </w:tabs>
      </w:pPr>
      <w:r>
        <w:rPr>
          <w:rFonts w:hint="eastAsia"/>
        </w:rPr>
        <w:t>7. 合格的服务和货物</w:t>
      </w:r>
    </w:p>
    <w:p>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投标人提供的所有服务，其质量、技术等特征必须符合国家、行业现行法律、法规的相关标准和《中华人民共和国政府采购法》的有关规定及用户需求。</w:t>
      </w:r>
    </w:p>
    <w:p>
      <w:pPr>
        <w:widowControl w:val="0"/>
        <w:shd w:val="clear" w:color="auto" w:fill="auto"/>
        <w:tabs>
          <w:tab w:val="clear" w:pos="426"/>
        </w:tabs>
        <w:autoSpaceDE w:val="0"/>
        <w:autoSpaceDN w:val="0"/>
        <w:rPr>
          <w:szCs w:val="21"/>
        </w:rPr>
      </w:pPr>
      <w:r>
        <w:rPr>
          <w:rFonts w:hint="eastAsia"/>
          <w:szCs w:val="21"/>
        </w:rPr>
        <w:t>7.4 采购人有权拒绝接受任何不合格的服务，由此产生的费用及相关后果均由供应商自行承担。</w:t>
      </w:r>
    </w:p>
    <w:p>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tabs>
          <w:tab w:val="clear" w:pos="426"/>
        </w:tabs>
      </w:pPr>
      <w:r>
        <w:rPr>
          <w:rFonts w:hint="eastAsia"/>
        </w:rPr>
        <w:t>8．投标费用</w:t>
      </w:r>
      <w:bookmarkEnd w:id="108"/>
      <w:bookmarkEnd w:id="109"/>
      <w:bookmarkEnd w:id="110"/>
      <w:bookmarkEnd w:id="111"/>
      <w:bookmarkEnd w:id="112"/>
      <w:bookmarkEnd w:id="113"/>
      <w:bookmarkEnd w:id="114"/>
    </w:p>
    <w:p>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pPr>
        <w:tabs>
          <w:tab w:val="clear" w:pos="426"/>
        </w:tabs>
      </w:pPr>
      <w:bookmarkStart w:id="115" w:name="_Toc100052371"/>
      <w:bookmarkStart w:id="116" w:name="_Toc73521554"/>
      <w:bookmarkStart w:id="117" w:name="_Toc73518124"/>
      <w:bookmarkStart w:id="118" w:name="_Toc73521642"/>
      <w:bookmarkStart w:id="119" w:name="_Toc60631627"/>
      <w:bookmarkStart w:id="120" w:name="_Toc73517646"/>
      <w:bookmarkStart w:id="121" w:name="_Toc60560632"/>
      <w:r>
        <w:rPr>
          <w:rFonts w:hint="eastAsia"/>
        </w:rPr>
        <w:t>9．踏勘现场</w:t>
      </w:r>
      <w:bookmarkEnd w:id="115"/>
      <w:bookmarkEnd w:id="116"/>
      <w:bookmarkEnd w:id="117"/>
      <w:bookmarkEnd w:id="118"/>
      <w:bookmarkEnd w:id="119"/>
      <w:bookmarkEnd w:id="120"/>
      <w:bookmarkEnd w:id="121"/>
    </w:p>
    <w:p>
      <w:pPr>
        <w:tabs>
          <w:tab w:val="clear" w:pos="426"/>
        </w:tabs>
      </w:pPr>
      <w:bookmarkStart w:id="122" w:name="_Toc78260681"/>
      <w:bookmarkStart w:id="123"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pPr>
        <w:tabs>
          <w:tab w:val="clear" w:pos="426"/>
        </w:tabs>
      </w:pPr>
      <w:r>
        <w:rPr>
          <w:rFonts w:hint="eastAsia"/>
        </w:rPr>
        <w:t>9.3采购单位必须通过采购代理机构向投标人提供有关现场的资料和数据。</w:t>
      </w:r>
    </w:p>
    <w:p>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pPr>
        <w:tabs>
          <w:tab w:val="clear" w:pos="426"/>
        </w:tabs>
      </w:pPr>
      <w:r>
        <w:rPr>
          <w:rFonts w:hint="eastAsia"/>
        </w:rPr>
        <w:t>9.5 未参与现场踏勘不作为否定投标人资格的理由。</w:t>
      </w:r>
    </w:p>
    <w:p>
      <w:pPr>
        <w:tabs>
          <w:tab w:val="clear" w:pos="426"/>
        </w:tabs>
      </w:pPr>
      <w:r>
        <w:rPr>
          <w:rFonts w:hint="eastAsia"/>
        </w:rPr>
        <w:t>10．招标</w:t>
      </w:r>
      <w:bookmarkEnd w:id="122"/>
      <w:r>
        <w:rPr>
          <w:rFonts w:hint="eastAsia"/>
        </w:rPr>
        <w:t>答疑</w:t>
      </w:r>
      <w:bookmarkEnd w:id="123"/>
    </w:p>
    <w:p>
      <w:pPr>
        <w:tabs>
          <w:tab w:val="clear" w:pos="426"/>
        </w:tabs>
      </w:pPr>
      <w:r>
        <w:rPr>
          <w:rFonts w:hint="eastAsia"/>
        </w:rPr>
        <w:t>10.1招标答疑的目的是澄清、解答投标人在查阅招标文件后或现场踏勘中可能提出的与投标有关的疑问或询问。</w:t>
      </w:r>
    </w:p>
    <w:p>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的形式提交给采购代理机构，质疑函应该加盖质疑单位公章。</w:t>
      </w:r>
    </w:p>
    <w:p>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pPr>
        <w:tabs>
          <w:tab w:val="clear" w:pos="426"/>
        </w:tabs>
      </w:pPr>
      <w:r>
        <w:rPr>
          <w:rFonts w:hint="eastAsia"/>
        </w:rPr>
        <w:t>10.5未参与招标答疑不作为否定投标人资格的理由。</w:t>
      </w:r>
    </w:p>
    <w:p>
      <w:pPr>
        <w:pStyle w:val="6"/>
        <w:tabs>
          <w:tab w:val="clear" w:pos="426"/>
        </w:tabs>
      </w:pPr>
      <w:bookmarkStart w:id="124" w:name="bt招标文件"/>
      <w:bookmarkEnd w:id="124"/>
      <w:bookmarkStart w:id="125" w:name="_Toc73517648"/>
      <w:bookmarkStart w:id="126" w:name="_Toc100052373"/>
      <w:bookmarkStart w:id="127" w:name="_Toc432592822"/>
      <w:bookmarkStart w:id="128" w:name="_Toc73521644"/>
      <w:bookmarkStart w:id="129" w:name="_Toc73521556"/>
      <w:bookmarkStart w:id="130" w:name="_Toc398220530"/>
      <w:bookmarkStart w:id="131" w:name="_Toc73518126"/>
      <w:bookmarkStart w:id="132" w:name="_Toc101074878"/>
      <w:bookmarkStart w:id="133" w:name="_Toc3628665"/>
      <w:r>
        <w:rPr>
          <w:rFonts w:hint="eastAsia"/>
        </w:rPr>
        <w:t>第二章 招标文件</w:t>
      </w:r>
      <w:bookmarkEnd w:id="125"/>
      <w:bookmarkEnd w:id="126"/>
      <w:bookmarkEnd w:id="127"/>
      <w:bookmarkEnd w:id="128"/>
      <w:bookmarkEnd w:id="129"/>
      <w:bookmarkEnd w:id="130"/>
      <w:bookmarkEnd w:id="131"/>
      <w:bookmarkEnd w:id="132"/>
      <w:bookmarkEnd w:id="133"/>
    </w:p>
    <w:p>
      <w:pPr>
        <w:tabs>
          <w:tab w:val="clear" w:pos="426"/>
        </w:tabs>
      </w:pPr>
      <w:bookmarkStart w:id="134" w:name="_Toc73518127"/>
      <w:bookmarkStart w:id="135" w:name="_Toc73521645"/>
      <w:bookmarkStart w:id="136" w:name="_Toc73517649"/>
      <w:bookmarkStart w:id="137" w:name="_Toc100052374"/>
      <w:bookmarkStart w:id="138" w:name="_Toc73521557"/>
      <w:r>
        <w:rPr>
          <w:rFonts w:hint="eastAsia"/>
        </w:rPr>
        <w:t>11．招标文件的编制与组成</w:t>
      </w:r>
      <w:bookmarkEnd w:id="134"/>
      <w:bookmarkEnd w:id="135"/>
      <w:bookmarkEnd w:id="136"/>
      <w:bookmarkEnd w:id="137"/>
      <w:bookmarkEnd w:id="138"/>
    </w:p>
    <w:p>
      <w:pPr>
        <w:tabs>
          <w:tab w:val="clear" w:pos="426"/>
        </w:tabs>
      </w:pPr>
      <w:r>
        <w:rPr>
          <w:rFonts w:hint="eastAsia"/>
        </w:rPr>
        <w:t>11.1招标文件除以下内容外，采购代理机构在招标（或谈判）期间发出的答疑纪要和其他补充修改函件，均是招标文件的组成部分，对投标人起约束作用；</w:t>
      </w:r>
    </w:p>
    <w:p>
      <w:pPr>
        <w:tabs>
          <w:tab w:val="clear" w:pos="426"/>
        </w:tabs>
      </w:pPr>
      <w:r>
        <w:rPr>
          <w:rFonts w:hint="eastAsia"/>
        </w:rPr>
        <w:t>招标文件包括下列内容：</w:t>
      </w:r>
    </w:p>
    <w:p>
      <w:pPr>
        <w:tabs>
          <w:tab w:val="clear" w:pos="426"/>
        </w:tabs>
      </w:pPr>
      <w:r>
        <w:rPr>
          <w:rFonts w:hint="eastAsia"/>
        </w:rPr>
        <w:t>项目关键信息</w:t>
      </w:r>
    </w:p>
    <w:p>
      <w:pPr>
        <w:tabs>
          <w:tab w:val="clear" w:pos="426"/>
        </w:tabs>
      </w:pPr>
      <w:r>
        <w:rPr>
          <w:rFonts w:hint="eastAsia"/>
        </w:rPr>
        <w:t>评标信息</w:t>
      </w:r>
    </w:p>
    <w:p>
      <w:pPr>
        <w:tabs>
          <w:tab w:val="clear" w:pos="426"/>
        </w:tabs>
      </w:pPr>
      <w:r>
        <w:rPr>
          <w:rFonts w:hint="eastAsia"/>
        </w:rPr>
        <w:t>第一册  专用条款</w:t>
      </w:r>
    </w:p>
    <w:p>
      <w:pPr>
        <w:tabs>
          <w:tab w:val="clear" w:pos="426"/>
        </w:tabs>
      </w:pPr>
      <w:r>
        <w:rPr>
          <w:rFonts w:hint="eastAsia"/>
        </w:rPr>
        <w:t>第一章  采购公告</w:t>
      </w:r>
    </w:p>
    <w:p>
      <w:pPr>
        <w:tabs>
          <w:tab w:val="clear" w:pos="426"/>
        </w:tabs>
      </w:pPr>
      <w:r>
        <w:rPr>
          <w:rFonts w:hint="eastAsia"/>
        </w:rPr>
        <w:t>第二章  招标项目需求</w:t>
      </w:r>
    </w:p>
    <w:p>
      <w:pPr>
        <w:tabs>
          <w:tab w:val="clear" w:pos="426"/>
        </w:tabs>
      </w:pPr>
      <w:r>
        <w:rPr>
          <w:rFonts w:hint="eastAsia"/>
        </w:rPr>
        <w:t>第三章  合同条款及格式</w:t>
      </w:r>
    </w:p>
    <w:p>
      <w:pPr>
        <w:tabs>
          <w:tab w:val="clear" w:pos="426"/>
        </w:tabs>
      </w:pPr>
      <w:r>
        <w:rPr>
          <w:rFonts w:hint="eastAsia"/>
        </w:rPr>
        <w:t>第四章  投标文件格式、附件</w:t>
      </w:r>
    </w:p>
    <w:p>
      <w:pPr>
        <w:tabs>
          <w:tab w:val="clear" w:pos="426"/>
        </w:tabs>
      </w:pPr>
      <w:r>
        <w:rPr>
          <w:rFonts w:hint="eastAsia"/>
        </w:rPr>
        <w:t>第五章  政府采购履约情况反馈表</w:t>
      </w:r>
    </w:p>
    <w:p>
      <w:pPr>
        <w:tabs>
          <w:tab w:val="clear" w:pos="426"/>
        </w:tabs>
      </w:pPr>
      <w:r>
        <w:rPr>
          <w:rFonts w:hint="eastAsia"/>
        </w:rPr>
        <w:t>第二册  通用条款</w:t>
      </w:r>
    </w:p>
    <w:p>
      <w:pPr>
        <w:tabs>
          <w:tab w:val="clear" w:pos="426"/>
        </w:tabs>
      </w:pPr>
      <w:r>
        <w:rPr>
          <w:rFonts w:hint="eastAsia"/>
        </w:rPr>
        <w:t>第一章  总则</w:t>
      </w:r>
    </w:p>
    <w:p>
      <w:pPr>
        <w:tabs>
          <w:tab w:val="clear" w:pos="426"/>
        </w:tabs>
      </w:pPr>
      <w:r>
        <w:rPr>
          <w:rFonts w:hint="eastAsia"/>
        </w:rPr>
        <w:t>第二章  招标文件</w:t>
      </w:r>
    </w:p>
    <w:p>
      <w:pPr>
        <w:tabs>
          <w:tab w:val="clear" w:pos="426"/>
        </w:tabs>
      </w:pPr>
      <w:r>
        <w:rPr>
          <w:rFonts w:hint="eastAsia"/>
        </w:rPr>
        <w:t>第三章  投标文件的编制与递交</w:t>
      </w:r>
    </w:p>
    <w:p>
      <w:pPr>
        <w:tabs>
          <w:tab w:val="clear" w:pos="426"/>
        </w:tabs>
      </w:pPr>
      <w:r>
        <w:rPr>
          <w:rFonts w:hint="eastAsia"/>
        </w:rPr>
        <w:t>第四章  开标</w:t>
      </w:r>
    </w:p>
    <w:p>
      <w:pPr>
        <w:tabs>
          <w:tab w:val="clear" w:pos="426"/>
        </w:tabs>
      </w:pPr>
      <w:r>
        <w:rPr>
          <w:rFonts w:hint="eastAsia"/>
        </w:rPr>
        <w:t>第五章  评标要求</w:t>
      </w:r>
    </w:p>
    <w:p>
      <w:pPr>
        <w:tabs>
          <w:tab w:val="clear" w:pos="426"/>
        </w:tabs>
      </w:pPr>
      <w:r>
        <w:rPr>
          <w:rFonts w:hint="eastAsia"/>
        </w:rPr>
        <w:t>第六章  评标程序及评标方法</w:t>
      </w:r>
    </w:p>
    <w:p>
      <w:pPr>
        <w:tabs>
          <w:tab w:val="clear" w:pos="426"/>
        </w:tabs>
      </w:pPr>
      <w:r>
        <w:rPr>
          <w:rFonts w:hint="eastAsia"/>
        </w:rPr>
        <w:t>第七章  定标及公示</w:t>
      </w:r>
    </w:p>
    <w:p>
      <w:pPr>
        <w:tabs>
          <w:tab w:val="clear" w:pos="426"/>
        </w:tabs>
      </w:pPr>
      <w:r>
        <w:rPr>
          <w:rFonts w:hint="eastAsia"/>
        </w:rPr>
        <w:t>第八章  公开招标失败的后续处理</w:t>
      </w:r>
    </w:p>
    <w:p>
      <w:pPr>
        <w:tabs>
          <w:tab w:val="clear" w:pos="426"/>
        </w:tabs>
      </w:pPr>
      <w:r>
        <w:rPr>
          <w:rFonts w:hint="eastAsia"/>
        </w:rPr>
        <w:t>第九章  合同的授予与备案</w:t>
      </w:r>
    </w:p>
    <w:p>
      <w:pPr>
        <w:tabs>
          <w:tab w:val="clear" w:pos="426"/>
        </w:tabs>
      </w:pPr>
      <w:r>
        <w:rPr>
          <w:rFonts w:hint="eastAsia"/>
        </w:rPr>
        <w:t>第十章  质疑处理</w:t>
      </w:r>
    </w:p>
    <w:p>
      <w:pPr>
        <w:tabs>
          <w:tab w:val="clear" w:pos="426"/>
        </w:tabs>
      </w:pPr>
      <w:bookmarkStart w:id="139" w:name="_Toc60560636"/>
      <w:bookmarkStart w:id="140" w:name="_Toc73521558"/>
      <w:bookmarkStart w:id="141" w:name="_Toc100052375"/>
      <w:bookmarkStart w:id="142" w:name="_Toc60631631"/>
      <w:bookmarkStart w:id="143" w:name="_Toc73518128"/>
      <w:bookmarkStart w:id="144" w:name="_Toc73517650"/>
      <w:bookmarkStart w:id="145" w:name="_Toc73521646"/>
      <w:bookmarkStart w:id="146" w:name="_Toc73518129"/>
      <w:bookmarkStart w:id="147" w:name="_Toc60560637"/>
      <w:bookmarkStart w:id="148" w:name="_Toc73521559"/>
      <w:bookmarkStart w:id="149" w:name="_Toc73517651"/>
      <w:bookmarkStart w:id="150" w:name="_Toc100052376"/>
      <w:bookmarkStart w:id="151" w:name="_Toc73521647"/>
      <w:bookmarkStart w:id="152" w:name="_Toc60631632"/>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pPr>
        <w:tabs>
          <w:tab w:val="clear" w:pos="426"/>
        </w:tabs>
      </w:pPr>
      <w:r>
        <w:rPr>
          <w:rFonts w:hint="eastAsia"/>
        </w:rPr>
        <w:t>12．招标文件的澄清</w:t>
      </w:r>
      <w:bookmarkEnd w:id="139"/>
      <w:bookmarkEnd w:id="140"/>
      <w:bookmarkEnd w:id="141"/>
      <w:bookmarkEnd w:id="142"/>
      <w:bookmarkEnd w:id="143"/>
      <w:bookmarkEnd w:id="144"/>
      <w:bookmarkEnd w:id="145"/>
    </w:p>
    <w:p>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pPr>
        <w:tabs>
          <w:tab w:val="clear" w:pos="426"/>
        </w:tabs>
      </w:pPr>
      <w:r>
        <w:rPr>
          <w:rFonts w:hint="eastAsia"/>
        </w:rPr>
        <w:t>12.3 对招标文件中描述有歧意或前后不一致的地方，评标委员会有权进行评判，但对同一条款的评判应适用于每个投标人。</w:t>
      </w:r>
    </w:p>
    <w:p>
      <w:pPr>
        <w:tabs>
          <w:tab w:val="clear" w:pos="426"/>
        </w:tabs>
      </w:pPr>
      <w:r>
        <w:t>1</w:t>
      </w:r>
      <w:r>
        <w:rPr>
          <w:rFonts w:hint="eastAsia"/>
        </w:rPr>
        <w:t>3．招标文件的修改</w:t>
      </w:r>
      <w:bookmarkEnd w:id="146"/>
      <w:bookmarkEnd w:id="147"/>
      <w:bookmarkEnd w:id="148"/>
      <w:bookmarkEnd w:id="149"/>
      <w:bookmarkEnd w:id="150"/>
      <w:bookmarkEnd w:id="151"/>
      <w:bookmarkEnd w:id="152"/>
    </w:p>
    <w:p>
      <w:pPr>
        <w:tabs>
          <w:tab w:val="clear" w:pos="426"/>
        </w:tabs>
      </w:pPr>
      <w:bookmarkStart w:id="153" w:name="bt投标文件"/>
      <w:bookmarkEnd w:id="153"/>
      <w:bookmarkStart w:id="154" w:name="_Toc73517652"/>
      <w:bookmarkStart w:id="155" w:name="_Toc73521648"/>
      <w:bookmarkStart w:id="156" w:name="_Toc101074879"/>
      <w:bookmarkStart w:id="157" w:name="_Toc100052377"/>
      <w:bookmarkStart w:id="158" w:name="_Toc73521560"/>
      <w:bookmarkStart w:id="159" w:name="_Toc73518130"/>
      <w:r>
        <w:t>1</w:t>
      </w:r>
      <w:r>
        <w:rPr>
          <w:rFonts w:hint="eastAsia"/>
        </w:rPr>
        <w:t>3.1招标文件发出后，在投标截止日期前任何时候，确需要变更招标内容的，采购代理机构可主动地或在解答投标人提出的澄清问题时对招标文件进行修改；</w:t>
      </w:r>
    </w:p>
    <w:p>
      <w:pPr>
        <w:tabs>
          <w:tab w:val="clear" w:pos="426"/>
        </w:tabs>
      </w:pPr>
      <w:r>
        <w:t>1</w:t>
      </w:r>
      <w:r>
        <w:rPr>
          <w:rFonts w:hint="eastAsia"/>
        </w:rPr>
        <w:t>3.2招标文件的修改以书面形式（包括网站公开发布方式）发送给所有投标人，招标文件的修改内容作为招标文件的组成部分，并具有约束力。</w:t>
      </w:r>
    </w:p>
    <w:p>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pPr>
        <w:pStyle w:val="6"/>
        <w:tabs>
          <w:tab w:val="clear" w:pos="426"/>
        </w:tabs>
      </w:pPr>
      <w:bookmarkStart w:id="160" w:name="_Toc398220531"/>
      <w:bookmarkStart w:id="161" w:name="_Toc432592823"/>
      <w:bookmarkStart w:id="162" w:name="_Toc3628666"/>
      <w:r>
        <w:rPr>
          <w:rFonts w:hint="eastAsia"/>
        </w:rPr>
        <w:t>第三章 投标文件</w:t>
      </w:r>
      <w:bookmarkEnd w:id="154"/>
      <w:bookmarkEnd w:id="155"/>
      <w:bookmarkEnd w:id="156"/>
      <w:bookmarkEnd w:id="157"/>
      <w:bookmarkEnd w:id="158"/>
      <w:bookmarkEnd w:id="159"/>
      <w:r>
        <w:rPr>
          <w:rFonts w:hint="eastAsia"/>
        </w:rPr>
        <w:t>的编制与递交</w:t>
      </w:r>
      <w:bookmarkEnd w:id="160"/>
      <w:bookmarkEnd w:id="161"/>
      <w:bookmarkEnd w:id="162"/>
    </w:p>
    <w:p>
      <w:pPr>
        <w:tabs>
          <w:tab w:val="clear" w:pos="426"/>
        </w:tabs>
      </w:pPr>
      <w:bookmarkStart w:id="163" w:name="_Toc100052378"/>
      <w:bookmarkStart w:id="164" w:name="_Toc73517653"/>
      <w:bookmarkStart w:id="165" w:name="_Toc73518131"/>
      <w:bookmarkStart w:id="166" w:name="_Toc60631634"/>
      <w:bookmarkStart w:id="167" w:name="_Toc73521561"/>
      <w:bookmarkStart w:id="168" w:name="_Toc73521649"/>
      <w:bookmarkStart w:id="169" w:name="_Toc60560639"/>
      <w:r>
        <w:rPr>
          <w:rFonts w:hint="eastAsia"/>
        </w:rPr>
        <w:t>14．投标文件的语言及度量单位</w:t>
      </w:r>
      <w:bookmarkEnd w:id="163"/>
      <w:bookmarkEnd w:id="164"/>
      <w:bookmarkEnd w:id="165"/>
      <w:bookmarkEnd w:id="166"/>
      <w:bookmarkEnd w:id="167"/>
      <w:bookmarkEnd w:id="168"/>
      <w:bookmarkEnd w:id="169"/>
    </w:p>
    <w:p>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tabs>
          <w:tab w:val="clear" w:pos="426"/>
        </w:tabs>
      </w:pPr>
      <w:r>
        <w:rPr>
          <w:rFonts w:hint="eastAsia"/>
        </w:rPr>
        <w:t>14.2 除技术规范另有规定外，投标文件使用的度量单位，均采用中华人民共和国法定计量单位。</w:t>
      </w:r>
    </w:p>
    <w:p>
      <w:pPr>
        <w:tabs>
          <w:tab w:val="clear" w:pos="426"/>
        </w:tabs>
      </w:pPr>
      <w:bookmarkStart w:id="170" w:name="_Toc100052379"/>
      <w:bookmarkStart w:id="171" w:name="_Toc73521562"/>
      <w:bookmarkStart w:id="172" w:name="_Toc73521650"/>
      <w:bookmarkStart w:id="173" w:name="_Toc73518132"/>
      <w:bookmarkStart w:id="174" w:name="_Toc60560640"/>
      <w:bookmarkStart w:id="175" w:name="_Toc60631635"/>
      <w:bookmarkStart w:id="176" w:name="_Toc73517654"/>
      <w:r>
        <w:rPr>
          <w:rFonts w:hint="eastAsia"/>
        </w:rPr>
        <w:t>15．投标文件的组成</w:t>
      </w:r>
      <w:bookmarkEnd w:id="170"/>
      <w:bookmarkEnd w:id="171"/>
      <w:bookmarkEnd w:id="172"/>
      <w:bookmarkEnd w:id="173"/>
      <w:bookmarkEnd w:id="174"/>
      <w:bookmarkEnd w:id="175"/>
      <w:bookmarkEnd w:id="176"/>
    </w:p>
    <w:p>
      <w:pPr>
        <w:tabs>
          <w:tab w:val="clear" w:pos="426"/>
        </w:tabs>
      </w:pPr>
      <w:r>
        <w:rPr>
          <w:rFonts w:hint="eastAsia"/>
        </w:rPr>
        <w:t>具体内容请详见本项目专用条款的相关内容。</w:t>
      </w:r>
      <w:bookmarkStart w:id="177" w:name="_Toc73521651"/>
      <w:bookmarkStart w:id="178" w:name="_Toc73517655"/>
      <w:bookmarkStart w:id="179" w:name="投标文件的组成"/>
      <w:bookmarkStart w:id="180" w:name="_Toc73518133"/>
      <w:bookmarkStart w:id="181" w:name="_Toc73521563"/>
      <w:bookmarkStart w:id="182" w:name="_Toc60560641"/>
      <w:bookmarkStart w:id="183" w:name="_Toc60631636"/>
    </w:p>
    <w:p>
      <w:pPr>
        <w:tabs>
          <w:tab w:val="clear" w:pos="426"/>
        </w:tabs>
      </w:pPr>
      <w:r>
        <w:rPr>
          <w:rFonts w:hint="eastAsia"/>
        </w:rPr>
        <w:t>16. 投标文件格式</w:t>
      </w:r>
    </w:p>
    <w:p>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bookmarkEnd w:id="177"/>
    <w:bookmarkEnd w:id="178"/>
    <w:bookmarkEnd w:id="179"/>
    <w:bookmarkEnd w:id="180"/>
    <w:bookmarkEnd w:id="181"/>
    <w:bookmarkEnd w:id="182"/>
    <w:bookmarkEnd w:id="183"/>
    <w:p>
      <w:pPr>
        <w:tabs>
          <w:tab w:val="clear" w:pos="426"/>
        </w:tabs>
      </w:pPr>
      <w:bookmarkStart w:id="184" w:name="_Toc100052382"/>
      <w:bookmarkStart w:id="185" w:name="_Toc73518135"/>
      <w:bookmarkStart w:id="186" w:name="_Toc73521653"/>
      <w:bookmarkStart w:id="187" w:name="_Toc60631638"/>
      <w:bookmarkStart w:id="188" w:name="_Toc73517657"/>
      <w:bookmarkStart w:id="189" w:name="_Toc60560643"/>
      <w:bookmarkStart w:id="190" w:name="_Toc73521565"/>
      <w:r>
        <w:rPr>
          <w:rFonts w:hint="eastAsia"/>
        </w:rPr>
        <w:t>17．投标货币</w:t>
      </w:r>
      <w:bookmarkEnd w:id="184"/>
      <w:bookmarkEnd w:id="185"/>
      <w:bookmarkEnd w:id="186"/>
      <w:bookmarkEnd w:id="187"/>
      <w:bookmarkEnd w:id="188"/>
      <w:bookmarkEnd w:id="189"/>
      <w:bookmarkEnd w:id="190"/>
    </w:p>
    <w:p>
      <w:pPr>
        <w:tabs>
          <w:tab w:val="clear" w:pos="426"/>
        </w:tabs>
      </w:pPr>
      <w:r>
        <w:rPr>
          <w:rFonts w:hint="eastAsia"/>
        </w:rPr>
        <w:t>本项目的投标应以人民币计。</w:t>
      </w:r>
    </w:p>
    <w:p>
      <w:pPr>
        <w:widowControl w:val="0"/>
        <w:shd w:val="clear" w:color="auto" w:fill="auto"/>
        <w:tabs>
          <w:tab w:val="clear" w:pos="426"/>
        </w:tabs>
        <w:autoSpaceDE w:val="0"/>
        <w:autoSpaceDN w:val="0"/>
      </w:pPr>
      <w:r>
        <w:rPr>
          <w:rFonts w:hint="eastAsia"/>
        </w:rPr>
        <w:t>18. 证明投标人合格和资格的文件</w:t>
      </w:r>
    </w:p>
    <w:p>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pPr>
        <w:tabs>
          <w:tab w:val="clear" w:pos="426"/>
        </w:tabs>
      </w:pPr>
      <w:r>
        <w:rPr>
          <w:rFonts w:hint="eastAsia"/>
        </w:rPr>
        <w:t>19．证明投标文件投标技术方案的合格性和符合招标文件规定的文件要求</w:t>
      </w:r>
    </w:p>
    <w:p>
      <w:pPr>
        <w:tabs>
          <w:tab w:val="clear" w:pos="426"/>
        </w:tabs>
      </w:pPr>
      <w:r>
        <w:rPr>
          <w:rFonts w:hint="eastAsia"/>
        </w:rPr>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pPr>
        <w:tabs>
          <w:tab w:val="clear" w:pos="426"/>
        </w:tabs>
      </w:pPr>
      <w:r>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pPr>
        <w:tabs>
          <w:tab w:val="clear" w:pos="426"/>
        </w:tabs>
      </w:pPr>
      <w:r>
        <w:rPr>
          <w:rFonts w:hint="eastAsia"/>
        </w:rPr>
        <w:t>19.2.1主要技术指标和性能的详细说明。</w:t>
      </w:r>
    </w:p>
    <w:p>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pPr>
        <w:tabs>
          <w:tab w:val="clear" w:pos="426"/>
        </w:tabs>
      </w:pPr>
      <w:r>
        <w:rPr>
          <w:rFonts w:hint="eastAsia"/>
        </w:rPr>
        <w:t>19.3相关资料不符合19.2款要求的，评标委员会有权认定为投标技术方案不合格响应，其相关分数予以扣减或作废标处理。</w:t>
      </w:r>
    </w:p>
    <w:p>
      <w:pPr>
        <w:tabs>
          <w:tab w:val="clear" w:pos="426"/>
        </w:tabs>
      </w:pPr>
      <w:r>
        <w:rPr>
          <w:rFonts w:hint="eastAsia"/>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pPr>
        <w:tabs>
          <w:tab w:val="clear" w:pos="426"/>
        </w:tabs>
      </w:pPr>
      <w:r>
        <w:t>1</w:t>
      </w:r>
      <w:r>
        <w:rPr>
          <w:rFonts w:hint="eastAsia"/>
        </w:rPr>
        <w:t>9</w:t>
      </w:r>
      <w:r>
        <w:t>.</w:t>
      </w:r>
      <w:r>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pPr>
        <w:tabs>
          <w:tab w:val="clear" w:pos="426"/>
        </w:tabs>
      </w:pPr>
      <w:r>
        <w:rPr>
          <w:rFonts w:hint="eastAsia"/>
        </w:rPr>
        <w:t>19.6为保证公平公正，除非另有规定或说明，投标人对同一货物或服务投标时，不得同时提供两套或两套以上的投标方案。</w:t>
      </w:r>
    </w:p>
    <w:p>
      <w:pPr>
        <w:tabs>
          <w:tab w:val="clear" w:pos="426"/>
        </w:tabs>
      </w:pPr>
      <w:r>
        <w:rPr>
          <w:rFonts w:hint="eastAsia"/>
        </w:rPr>
        <w:t>20．投标文件其他证明文件的要求</w:t>
      </w:r>
    </w:p>
    <w:p>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pPr>
        <w:tabs>
          <w:tab w:val="clear" w:pos="426"/>
        </w:tabs>
      </w:pPr>
      <w:bookmarkStart w:id="191" w:name="_Toc73518136"/>
      <w:bookmarkStart w:id="192" w:name="_Toc100052383"/>
      <w:bookmarkStart w:id="193" w:name="_Toc73521566"/>
      <w:bookmarkStart w:id="194" w:name="_Toc60560644"/>
      <w:bookmarkStart w:id="195" w:name="_Toc73517658"/>
      <w:bookmarkStart w:id="196" w:name="_Toc60631639"/>
      <w:bookmarkStart w:id="197" w:name="_Toc73521654"/>
      <w:r>
        <w:rPr>
          <w:rFonts w:hint="eastAsia"/>
        </w:rPr>
        <w:t>21．投标有效期</w:t>
      </w:r>
      <w:bookmarkEnd w:id="191"/>
      <w:bookmarkEnd w:id="192"/>
      <w:bookmarkEnd w:id="193"/>
      <w:bookmarkEnd w:id="194"/>
      <w:bookmarkEnd w:id="195"/>
      <w:bookmarkEnd w:id="196"/>
      <w:bookmarkEnd w:id="197"/>
    </w:p>
    <w:p>
      <w:pPr>
        <w:tabs>
          <w:tab w:val="clear" w:pos="426"/>
        </w:tabs>
      </w:pPr>
      <w:r>
        <w:rPr>
          <w:rFonts w:hint="eastAsia"/>
        </w:rPr>
        <w:t>21.1 投标有效期为从投标截止之日算起的日历天数，具体见专用条款中投标有效期的天数要求。在此期限内，所有投标文件均保持有效；</w:t>
      </w:r>
    </w:p>
    <w:p>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pPr>
        <w:tabs>
          <w:tab w:val="clear" w:pos="426"/>
        </w:tabs>
      </w:pPr>
      <w:bookmarkStart w:id="198" w:name="_Toc73517659"/>
      <w:bookmarkStart w:id="199" w:name="_Toc100052384"/>
      <w:bookmarkStart w:id="200" w:name="_Toc60631640"/>
      <w:bookmarkStart w:id="201" w:name="_Toc73518137"/>
      <w:bookmarkStart w:id="202" w:name="_Toc60560645"/>
      <w:bookmarkStart w:id="203" w:name="_Toc73521655"/>
      <w:bookmarkStart w:id="204" w:name="_Toc73521567"/>
      <w:r>
        <w:rPr>
          <w:rFonts w:hint="eastAsia"/>
        </w:rPr>
        <w:t>22．投标</w:t>
      </w:r>
      <w:bookmarkEnd w:id="198"/>
      <w:bookmarkEnd w:id="199"/>
      <w:bookmarkEnd w:id="200"/>
      <w:bookmarkEnd w:id="201"/>
      <w:bookmarkEnd w:id="202"/>
      <w:bookmarkEnd w:id="203"/>
      <w:bookmarkEnd w:id="204"/>
      <w:r>
        <w:rPr>
          <w:rFonts w:hint="eastAsia"/>
        </w:rPr>
        <w:t>保证金</w:t>
      </w:r>
    </w:p>
    <w:p>
      <w:pPr>
        <w:tabs>
          <w:tab w:val="clear" w:pos="426"/>
        </w:tabs>
      </w:pPr>
      <w:bookmarkStart w:id="205" w:name="_Toc73521568"/>
      <w:bookmarkStart w:id="206" w:name="_Toc100052385"/>
      <w:bookmarkStart w:id="207" w:name="_Toc73517660"/>
      <w:bookmarkStart w:id="208" w:name="_Toc60560646"/>
      <w:bookmarkStart w:id="209" w:name="_Toc73521656"/>
      <w:bookmarkStart w:id="210" w:name="_Toc60631641"/>
      <w:bookmarkStart w:id="211" w:name="_Toc73518138"/>
      <w:r>
        <w:rPr>
          <w:rFonts w:hint="eastAsia"/>
        </w:rPr>
        <w:t>22.1投标保证金的缴纳：</w:t>
      </w:r>
    </w:p>
    <w:p>
      <w:pPr>
        <w:tabs>
          <w:tab w:val="clear" w:pos="426"/>
        </w:tabs>
      </w:pPr>
      <w:r>
        <w:rPr>
          <w:rFonts w:hint="eastAsia"/>
        </w:rPr>
        <w:t>22.1.1缴纳投标保证金的方式：参与投标前须缴纳壹万元保证金，落标或中标项目完成后返还，参与投标前未缴纳的，其投标将不予受理。</w:t>
      </w:r>
    </w:p>
    <w:p>
      <w:pPr>
        <w:tabs>
          <w:tab w:val="clear" w:pos="426"/>
        </w:tabs>
      </w:pPr>
      <w:r>
        <w:rPr>
          <w:rFonts w:hint="eastAsia"/>
        </w:rPr>
        <w:t>22.1.2 若为重大项目，采购代理机构可自行决定另外收取投标保证金，不受22</w:t>
      </w:r>
      <w:r>
        <w:t>.1</w:t>
      </w:r>
      <w:r>
        <w:rPr>
          <w:rFonts w:hint="eastAsia"/>
        </w:rPr>
        <w:t>.1款限制。是否另外收取投标保证金，请见本招标文件专用条款《对通用条款的补充内容》中的相关要求。</w:t>
      </w:r>
    </w:p>
    <w:p>
      <w:pPr>
        <w:tabs>
          <w:tab w:val="clear" w:pos="426"/>
        </w:tabs>
        <w:rPr>
          <w:szCs w:val="21"/>
        </w:rPr>
      </w:pPr>
      <w:r>
        <w:rPr>
          <w:rFonts w:hint="eastAsia"/>
          <w:szCs w:val="21"/>
        </w:rPr>
        <w:t>22.2</w:t>
      </w:r>
      <w:r>
        <w:rPr>
          <w:rFonts w:hint="eastAsia"/>
        </w:rPr>
        <w:t>投标保证金是为了保护采购代理机构和采购单位免因投标人的行为而蒙受损失。采购代理机构和采购单位因投标人的行为受到损害时可根据本通用条款第</w:t>
      </w:r>
      <w:r>
        <w:rPr>
          <w:rFonts w:hint="eastAsia"/>
          <w:szCs w:val="21"/>
        </w:rPr>
        <w:t>22.3款</w:t>
      </w:r>
      <w:r>
        <w:rPr>
          <w:rFonts w:hint="eastAsia"/>
        </w:rPr>
        <w:t>的规定没收投标人的投标保证金。</w:t>
      </w:r>
    </w:p>
    <w:p>
      <w:pPr>
        <w:tabs>
          <w:tab w:val="clear" w:pos="426"/>
        </w:tabs>
      </w:pPr>
      <w:r>
        <w:rPr>
          <w:rFonts w:hint="eastAsia"/>
        </w:rPr>
        <w:t>22.3如下列任何情况发生时，投标保证金将被没收。</w:t>
      </w:r>
    </w:p>
    <w:p>
      <w:pPr>
        <w:tabs>
          <w:tab w:val="clear" w:pos="426"/>
        </w:tabs>
      </w:pPr>
      <w:r>
        <w:rPr>
          <w:rFonts w:hint="eastAsia"/>
        </w:rPr>
        <w:t>1）投标人在招标文件中规定的投标有效期内撤回其投标；</w:t>
      </w:r>
    </w:p>
    <w:p>
      <w:pPr>
        <w:tabs>
          <w:tab w:val="clear" w:pos="426"/>
        </w:tabs>
      </w:pPr>
      <w:r>
        <w:rPr>
          <w:rFonts w:hint="eastAsia"/>
        </w:rPr>
        <w:t>2）中标人在规定期限内未能根据本项通用条款第47条规定签订合同；</w:t>
      </w:r>
    </w:p>
    <w:p>
      <w:pPr>
        <w:tabs>
          <w:tab w:val="clear" w:pos="426"/>
        </w:tabs>
      </w:pPr>
      <w:r>
        <w:rPr>
          <w:rFonts w:hint="eastAsia"/>
        </w:rPr>
        <w:t>3）投标人提供虚假投标文件或虚假补充文件：</w:t>
      </w:r>
    </w:p>
    <w:p>
      <w:pPr>
        <w:tabs>
          <w:tab w:val="clear" w:pos="426"/>
        </w:tabs>
      </w:pPr>
      <w:r>
        <w:rPr>
          <w:rFonts w:hint="eastAsia"/>
        </w:rPr>
        <w:t>4）投标人以谋取中标为目的的技术规格模糊响应（如有意照搬照抄招标文件的技术要求）或虚假响应的；</w:t>
      </w:r>
    </w:p>
    <w:p>
      <w:pPr>
        <w:tabs>
          <w:tab w:val="clear" w:pos="426"/>
        </w:tabs>
      </w:pPr>
      <w:r>
        <w:rPr>
          <w:rFonts w:hint="eastAsia"/>
        </w:rPr>
        <w:t>5）投标人质疑投诉提供虚假情况。</w:t>
      </w:r>
    </w:p>
    <w:p>
      <w:pPr>
        <w:tabs>
          <w:tab w:val="clear" w:pos="426"/>
        </w:tabs>
      </w:pPr>
      <w:r>
        <w:rPr>
          <w:rFonts w:hint="eastAsia"/>
        </w:rPr>
        <w:t>22.4投标保证金账户信息：</w:t>
      </w:r>
    </w:p>
    <w:p>
      <w:pPr>
        <w:tabs>
          <w:tab w:val="clear" w:pos="426"/>
        </w:tabs>
        <w:rPr>
          <w:b/>
          <w:highlight w:val="yellow"/>
        </w:rPr>
      </w:pPr>
      <w:r>
        <w:rPr>
          <w:rFonts w:hint="eastAsia"/>
          <w:b/>
          <w:highlight w:val="yellow"/>
        </w:rPr>
        <w:t>账户名称：深圳市政府采购中心</w:t>
      </w:r>
    </w:p>
    <w:p>
      <w:pPr>
        <w:tabs>
          <w:tab w:val="clear" w:pos="426"/>
        </w:tabs>
        <w:rPr>
          <w:b/>
          <w:highlight w:val="yellow"/>
        </w:rPr>
      </w:pPr>
      <w:r>
        <w:rPr>
          <w:rFonts w:hint="eastAsia"/>
          <w:b/>
          <w:highlight w:val="yellow"/>
        </w:rPr>
        <w:t>账</w:t>
      </w:r>
      <w:r>
        <w:rPr>
          <w:b/>
          <w:highlight w:val="yellow"/>
        </w:rPr>
        <w:t xml:space="preserve">    号：0012100200549</w:t>
      </w:r>
    </w:p>
    <w:p>
      <w:pPr>
        <w:tabs>
          <w:tab w:val="clear" w:pos="426"/>
        </w:tabs>
        <w:rPr>
          <w:b/>
          <w:highlight w:val="yellow"/>
        </w:rPr>
      </w:pPr>
      <w:r>
        <w:rPr>
          <w:rFonts w:hint="eastAsia"/>
          <w:b/>
          <w:highlight w:val="yellow"/>
        </w:rPr>
        <w:t>开户银行：平安银行股份有限公司深圳分行营业部</w:t>
      </w:r>
      <w:r>
        <w:rPr>
          <w:b/>
          <w:highlight w:val="yellow"/>
        </w:rPr>
        <w:t xml:space="preserve">  </w:t>
      </w:r>
    </w:p>
    <w:p>
      <w:pPr>
        <w:tabs>
          <w:tab w:val="clear" w:pos="426"/>
        </w:tabs>
        <w:rPr>
          <w:b/>
        </w:rPr>
      </w:pPr>
      <w:r>
        <w:rPr>
          <w:rFonts w:hint="eastAsia"/>
          <w:b/>
          <w:highlight w:val="yellow"/>
        </w:rPr>
        <w:t>行</w:t>
      </w:r>
      <w:r>
        <w:rPr>
          <w:b/>
          <w:highlight w:val="yellow"/>
        </w:rPr>
        <w:t xml:space="preserve">    号：307584021015</w:t>
      </w:r>
    </w:p>
    <w:p>
      <w:pPr>
        <w:tabs>
          <w:tab w:val="clear" w:pos="426"/>
        </w:tabs>
      </w:pPr>
      <w:r>
        <w:rPr>
          <w:rFonts w:hint="eastAsia"/>
        </w:rPr>
        <w:t>23．投标人的替代方案</w:t>
      </w:r>
      <w:bookmarkEnd w:id="205"/>
      <w:bookmarkEnd w:id="206"/>
      <w:bookmarkEnd w:id="207"/>
      <w:bookmarkEnd w:id="208"/>
      <w:bookmarkEnd w:id="209"/>
      <w:bookmarkEnd w:id="210"/>
      <w:bookmarkEnd w:id="211"/>
    </w:p>
    <w:p>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12" w:name="_Toc73518144"/>
      <w:bookmarkStart w:id="213" w:name="_Toc73521662"/>
      <w:bookmarkStart w:id="214" w:name="_Toc100052391"/>
      <w:bookmarkStart w:id="215" w:name="_Toc73517666"/>
      <w:bookmarkStart w:id="216" w:name="_Toc101074881"/>
      <w:bookmarkStart w:id="217" w:name="_Toc73521574"/>
    </w:p>
    <w:p>
      <w:pPr>
        <w:tabs>
          <w:tab w:val="clear" w:pos="426"/>
        </w:tabs>
      </w:pPr>
      <w:bookmarkStart w:id="218" w:name="_Toc201401384"/>
      <w:bookmarkStart w:id="219" w:name="_Toc163530302"/>
      <w:bookmarkStart w:id="220" w:name="_Toc134852021"/>
      <w:bookmarkStart w:id="221" w:name="_Toc135666628"/>
      <w:bookmarkStart w:id="222" w:name="_Toc187729580"/>
      <w:bookmarkStart w:id="223" w:name="_Toc148778157"/>
      <w:bookmarkStart w:id="224" w:name="_Toc201997835"/>
      <w:bookmarkStart w:id="225" w:name="_Toc148780238"/>
      <w:bookmarkStart w:id="226" w:name="_Toc148954464"/>
      <w:bookmarkStart w:id="227" w:name="_Toc188869280"/>
      <w:bookmarkStart w:id="228" w:name="_Toc148329801"/>
      <w:bookmarkStart w:id="229" w:name="_Toc148413300"/>
      <w:bookmarkStart w:id="230" w:name="_Toc143658455"/>
      <w:bookmarkStart w:id="231" w:name="_Toc148954859"/>
      <w:bookmarkStart w:id="232" w:name="_Toc148779952"/>
      <w:bookmarkStart w:id="233" w:name="_Toc201401576"/>
      <w:bookmarkStart w:id="234" w:name="_Toc135666815"/>
      <w:bookmarkStart w:id="235" w:name="_Toc157847820"/>
      <w:bookmarkStart w:id="236" w:name="_Toc98817934"/>
      <w:r>
        <w:rPr>
          <w:rFonts w:hint="eastAsia"/>
        </w:rPr>
        <w:t>24． 投标文件的密封、标记</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rFonts w:hint="eastAsia"/>
        </w:rPr>
        <w:t>和装订</w:t>
      </w:r>
    </w:p>
    <w:p>
      <w:pPr>
        <w:widowControl w:val="0"/>
        <w:shd w:val="clear" w:color="auto" w:fill="auto"/>
        <w:tabs>
          <w:tab w:val="clear" w:pos="426"/>
        </w:tabs>
        <w:autoSpaceDE w:val="0"/>
        <w:autoSpaceDN w:val="0"/>
        <w:rPr>
          <w:rFonts w:cs="黑体"/>
          <w:bCs/>
          <w:szCs w:val="21"/>
          <w:highlight w:val="yellow"/>
        </w:rPr>
      </w:pPr>
      <w:r>
        <w:rPr>
          <w:rFonts w:hint="eastAsia"/>
          <w:highlight w:val="yellow"/>
        </w:rPr>
        <w:t xml:space="preserve">24.1 </w:t>
      </w:r>
      <w:r>
        <w:rPr>
          <w:rFonts w:hint="eastAsia" w:cs="黑体"/>
          <w:bCs/>
          <w:szCs w:val="21"/>
          <w:highlight w:val="yellow"/>
        </w:rPr>
        <w:t>为方便开标唱标，投标人应单独提交一个密封信封，并在信封上标明“开标信封”的字样，内容包括开标一览表(报价表)、法定代表人证明书、法定代表人授权委托书、被授权人身份证复印件、</w:t>
      </w:r>
      <w:r>
        <w:rPr>
          <w:rFonts w:hint="eastAsia"/>
          <w:szCs w:val="21"/>
          <w:highlight w:val="yellow"/>
        </w:rPr>
        <w:t>投标文件电子光盘</w:t>
      </w:r>
      <w:r>
        <w:rPr>
          <w:rFonts w:hint="eastAsia" w:cs="黑体"/>
          <w:bCs/>
          <w:szCs w:val="21"/>
          <w:highlight w:val="yellow"/>
        </w:rPr>
        <w:t>，若本项目（或包组）接受联合体投标，则联合体投标，应将各方共同签署的《联合投标协议》和《投标联合体授权主体方协议书》一并提交。开标信封是投标文件的组成部分。</w:t>
      </w:r>
    </w:p>
    <w:p>
      <w:pPr>
        <w:tabs>
          <w:tab w:val="clear" w:pos="426"/>
        </w:tabs>
        <w:rPr>
          <w:color w:val="000000"/>
          <w:szCs w:val="21"/>
          <w:highlight w:val="yellow"/>
        </w:rPr>
      </w:pPr>
      <w:r>
        <w:rPr>
          <w:highlight w:val="yellow"/>
        </w:rPr>
        <w:t>24.2 投标文件为纸质投标文件，含正本和副本，投标文件应标明项目编号、招标项目名称及“正本”或“副本”。投标文件的所有内容应按A4篇幅装订成一册，装订应牢固不可拆卸。装订好的投标文件密封包装在一个外密封袋中，并在外密封袋上注明：</w:t>
      </w:r>
    </w:p>
    <w:p>
      <w:pPr>
        <w:tabs>
          <w:tab w:val="clear" w:pos="426"/>
        </w:tabs>
        <w:rPr>
          <w:highlight w:val="yellow"/>
        </w:rPr>
      </w:pPr>
      <w:r>
        <w:rPr>
          <w:rFonts w:hint="eastAsia"/>
          <w:highlight w:val="yellow"/>
        </w:rPr>
        <w:t xml:space="preserve">投标文件 </w:t>
      </w:r>
    </w:p>
    <w:p>
      <w:pPr>
        <w:tabs>
          <w:tab w:val="clear" w:pos="426"/>
        </w:tabs>
        <w:rPr>
          <w:highlight w:val="yellow"/>
        </w:rPr>
      </w:pPr>
      <w:r>
        <w:rPr>
          <w:rFonts w:hint="eastAsia"/>
          <w:highlight w:val="yellow"/>
        </w:rPr>
        <w:t>项目编号：</w:t>
      </w:r>
      <w:r>
        <w:rPr>
          <w:rFonts w:hint="eastAsia"/>
          <w:highlight w:val="yellow"/>
          <w:u w:val="single"/>
        </w:rPr>
        <w:t xml:space="preserve">                         </w:t>
      </w:r>
    </w:p>
    <w:p>
      <w:pPr>
        <w:tabs>
          <w:tab w:val="clear" w:pos="426"/>
        </w:tabs>
        <w:rPr>
          <w:highlight w:val="yellow"/>
        </w:rPr>
      </w:pPr>
      <w:r>
        <w:rPr>
          <w:rFonts w:hint="eastAsia"/>
          <w:highlight w:val="yellow"/>
        </w:rPr>
        <w:t>项目名称：</w:t>
      </w:r>
      <w:r>
        <w:rPr>
          <w:rFonts w:hint="eastAsia"/>
          <w:highlight w:val="yellow"/>
          <w:u w:val="single"/>
        </w:rPr>
        <w:t xml:space="preserve">                         </w:t>
      </w:r>
    </w:p>
    <w:p>
      <w:pPr>
        <w:tabs>
          <w:tab w:val="clear" w:pos="426"/>
        </w:tabs>
        <w:rPr>
          <w:highlight w:val="yellow"/>
        </w:rPr>
      </w:pPr>
      <w:r>
        <w:rPr>
          <w:rFonts w:hint="eastAsia"/>
          <w:highlight w:val="yellow"/>
        </w:rPr>
        <w:t>投标人名称（盖章）：</w:t>
      </w:r>
      <w:r>
        <w:rPr>
          <w:rFonts w:hint="eastAsia"/>
          <w:highlight w:val="yellow"/>
          <w:u w:val="single"/>
        </w:rPr>
        <w:t xml:space="preserve">                </w:t>
      </w:r>
    </w:p>
    <w:p>
      <w:pPr>
        <w:tabs>
          <w:tab w:val="clear" w:pos="426"/>
        </w:tabs>
      </w:pPr>
      <w:r>
        <w:rPr>
          <w:rFonts w:hint="eastAsia"/>
          <w:highlight w:val="yellow"/>
        </w:rPr>
        <w:t>投标截止时间：</w:t>
      </w:r>
      <w:r>
        <w:rPr>
          <w:rFonts w:hint="eastAsia"/>
          <w:highlight w:val="yellow"/>
          <w:u w:val="single"/>
        </w:rPr>
        <w:t xml:space="preserve">       年      月      日      时      分（前不得开封）</w:t>
      </w:r>
      <w:r>
        <w:rPr>
          <w:rFonts w:hint="eastAsia"/>
          <w:highlight w:val="yellow"/>
        </w:rPr>
        <w:t>。</w:t>
      </w:r>
    </w:p>
    <w:p>
      <w:pPr>
        <w:tabs>
          <w:tab w:val="clear" w:pos="426"/>
        </w:tabs>
      </w:pPr>
      <w:r>
        <w:rPr>
          <w:rFonts w:hint="eastAsia"/>
        </w:rPr>
        <w:t>24.3  所有投标文件的密封袋的封口处均应加盖投标人公章。</w:t>
      </w:r>
    </w:p>
    <w:p>
      <w:pPr>
        <w:tabs>
          <w:tab w:val="clear" w:pos="426"/>
        </w:tabs>
      </w:pPr>
      <w:r>
        <w:rPr>
          <w:rFonts w:hint="eastAsia"/>
        </w:rPr>
        <w:t>24.4  对于因标书标识不清、装订不牢、密封不严等导致的不利后果由该投标人自负。</w:t>
      </w:r>
    </w:p>
    <w:p>
      <w:pPr>
        <w:tabs>
          <w:tab w:val="clear" w:pos="426"/>
        </w:tabs>
        <w:rPr>
          <w:color w:val="000000"/>
          <w:szCs w:val="21"/>
        </w:rPr>
      </w:pPr>
      <w:r>
        <w:rPr>
          <w:rFonts w:hint="eastAsia"/>
          <w:color w:val="000000"/>
          <w:szCs w:val="21"/>
        </w:rPr>
        <w:t>24.5  投标方应将投标文件按24.1-24.2中的规定进行密封和标记后，按专用条款中采购公告注明的地址送至招标机构。</w:t>
      </w:r>
    </w:p>
    <w:p>
      <w:pPr>
        <w:tabs>
          <w:tab w:val="clear" w:pos="426"/>
        </w:tabs>
        <w:rPr>
          <w:color w:val="000000"/>
          <w:szCs w:val="21"/>
        </w:rPr>
      </w:pPr>
      <w:r>
        <w:rPr>
          <w:rFonts w:hint="eastAsia"/>
          <w:color w:val="000000"/>
          <w:szCs w:val="21"/>
        </w:rPr>
        <w:t>24.6  邮寄、电报、电话、传真形式的投标概不接受。</w:t>
      </w:r>
    </w:p>
    <w:p>
      <w:pPr>
        <w:tabs>
          <w:tab w:val="clear" w:pos="426"/>
        </w:tabs>
        <w:rPr>
          <w:b/>
          <w:color w:val="000000"/>
          <w:szCs w:val="21"/>
        </w:rPr>
      </w:pPr>
      <w:r>
        <w:rPr>
          <w:rFonts w:hint="eastAsia"/>
          <w:b/>
          <w:color w:val="000000"/>
          <w:szCs w:val="21"/>
        </w:rPr>
        <w:t xml:space="preserve">24.7  </w:t>
      </w:r>
      <w:r>
        <w:rPr>
          <w:rFonts w:hint="eastAsia"/>
          <w:b/>
          <w:bCs/>
          <w:color w:val="000000"/>
          <w:szCs w:val="21"/>
        </w:rPr>
        <w:t>投标文件电子版：电子光盘一张（投标文件正本盖章后的彩色扫描件，扫描件要求为PDF格式），请将该光盘放在开标信封中，并在光盘上标明项目编号、项目名称及投标人名称。</w:t>
      </w:r>
    </w:p>
    <w:p>
      <w:pPr>
        <w:tabs>
          <w:tab w:val="clear" w:pos="426"/>
        </w:tabs>
        <w:rPr>
          <w:color w:val="000000"/>
          <w:szCs w:val="21"/>
        </w:rPr>
      </w:pPr>
      <w:r>
        <w:rPr>
          <w:rFonts w:hint="eastAsia"/>
          <w:color w:val="000000"/>
          <w:szCs w:val="21"/>
        </w:rPr>
        <w:t>25． 投标截止时间</w:t>
      </w:r>
    </w:p>
    <w:p>
      <w:pPr>
        <w:tabs>
          <w:tab w:val="clear" w:pos="426"/>
        </w:tabs>
        <w:ind w:firstLine="424" w:firstLineChars="202"/>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pPr>
        <w:tabs>
          <w:tab w:val="clear" w:pos="426"/>
        </w:tabs>
        <w:rPr>
          <w:color w:val="000000"/>
          <w:szCs w:val="21"/>
        </w:rPr>
      </w:pPr>
      <w:r>
        <w:rPr>
          <w:rFonts w:hint="eastAsia"/>
          <w:color w:val="000000"/>
          <w:szCs w:val="21"/>
        </w:rPr>
        <w:t>26．迟交的投标书</w:t>
      </w:r>
    </w:p>
    <w:p>
      <w:pPr>
        <w:tabs>
          <w:tab w:val="clear" w:pos="426"/>
        </w:tabs>
        <w:ind w:firstLine="424" w:firstLineChars="202"/>
        <w:rPr>
          <w:color w:val="000000"/>
          <w:szCs w:val="21"/>
        </w:rPr>
      </w:pPr>
      <w:r>
        <w:rPr>
          <w:rFonts w:hint="eastAsia"/>
          <w:color w:val="000000"/>
          <w:szCs w:val="21"/>
        </w:rPr>
        <w:t>按照本通用条款第25条规定，招标机构将拒绝并原封退回在其规定的投标截止期后收到的任何投标书。</w:t>
      </w:r>
    </w:p>
    <w:p>
      <w:pPr>
        <w:tabs>
          <w:tab w:val="clear" w:pos="426"/>
        </w:tabs>
      </w:pPr>
      <w:r>
        <w:rPr>
          <w:rFonts w:hint="eastAsia"/>
        </w:rPr>
        <w:t>27． 投标文件的提交和截标时投标文件的数量要求</w:t>
      </w:r>
    </w:p>
    <w:p>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pPr>
        <w:tabs>
          <w:tab w:val="clear" w:pos="426"/>
        </w:tabs>
      </w:pPr>
      <w:bookmarkStart w:id="237" w:name="_Toc148779955"/>
      <w:bookmarkStart w:id="238" w:name="_Toc148329804"/>
      <w:bookmarkStart w:id="239" w:name="_Toc148954862"/>
      <w:bookmarkStart w:id="240" w:name="_Toc148780241"/>
      <w:bookmarkStart w:id="241" w:name="_Toc163530305"/>
      <w:bookmarkStart w:id="242" w:name="_Toc187729583"/>
      <w:bookmarkStart w:id="243" w:name="_Toc143658458"/>
      <w:bookmarkStart w:id="244" w:name="_Toc98817937"/>
      <w:bookmarkStart w:id="245" w:name="_Toc148778160"/>
      <w:bookmarkStart w:id="246" w:name="_Toc135666631"/>
      <w:bookmarkStart w:id="247" w:name="_Toc135666818"/>
      <w:bookmarkStart w:id="248" w:name="_Toc201401578"/>
      <w:bookmarkStart w:id="249" w:name="_Toc134852024"/>
      <w:bookmarkStart w:id="250" w:name="_Toc148954467"/>
      <w:bookmarkStart w:id="251" w:name="_Toc148413303"/>
      <w:bookmarkStart w:id="252" w:name="_Toc201401386"/>
      <w:bookmarkStart w:id="253" w:name="_Toc157847823"/>
      <w:bookmarkStart w:id="254" w:name="_Toc201997837"/>
      <w:bookmarkStart w:id="255" w:name="_Toc188869283"/>
      <w:r>
        <w:rPr>
          <w:rFonts w:hint="eastAsia"/>
        </w:rPr>
        <w:t>28．  投标文件的修改或撤回</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pPr>
        <w:tabs>
          <w:tab w:val="clear" w:pos="426"/>
        </w:tabs>
      </w:pPr>
      <w:r>
        <w:rPr>
          <w:rFonts w:hint="eastAsia"/>
        </w:rPr>
        <w:t>28.2  采购代理机构收到由投标人代表签名的修改或撤回的书面通知并确认后，投标人可对其投标文件进行修改，或是撤回其投标。</w:t>
      </w:r>
    </w:p>
    <w:p>
      <w:pPr>
        <w:tabs>
          <w:tab w:val="clear" w:pos="426"/>
        </w:tabs>
      </w:pPr>
      <w:bookmarkStart w:id="256" w:name="_Toc188869284"/>
      <w:r>
        <w:rPr>
          <w:rFonts w:hint="eastAsia"/>
        </w:rPr>
        <w:t>28.3  投标人的修改文件应按照本招标文件的规定进行编制、密封、标记和提交，并在密封袋上注明“投标修改”。</w:t>
      </w:r>
    </w:p>
    <w:p>
      <w:pPr>
        <w:tabs>
          <w:tab w:val="clear" w:pos="426"/>
        </w:tabs>
      </w:pPr>
      <w:r>
        <w:rPr>
          <w:rFonts w:hint="eastAsia"/>
        </w:rPr>
        <w:t>28.4  投标截止时间之后至投标文件有效期终止之前，投标人不得要求撤回其投标。在此期间撤回投标的，其投标担保将会被没收。</w:t>
      </w:r>
    </w:p>
    <w:p>
      <w:pPr>
        <w:tabs>
          <w:tab w:val="clear" w:pos="426"/>
        </w:tabs>
      </w:pPr>
      <w:r>
        <w:rPr>
          <w:rFonts w:hint="eastAsia"/>
        </w:rPr>
        <w:t>28.5  评标结束后，不论中标与否，投标人均不得收回投标文件。</w:t>
      </w:r>
    </w:p>
    <w:bookmarkEnd w:id="256"/>
    <w:p>
      <w:pPr>
        <w:pStyle w:val="6"/>
        <w:tabs>
          <w:tab w:val="clear" w:pos="426"/>
        </w:tabs>
      </w:pPr>
      <w:bookmarkStart w:id="257" w:name="_Toc432592824"/>
      <w:bookmarkStart w:id="258" w:name="_Toc3628667"/>
      <w:bookmarkStart w:id="259" w:name="_Toc398220532"/>
      <w:r>
        <w:rPr>
          <w:rFonts w:hint="eastAsia"/>
        </w:rPr>
        <w:t>第四章 开标</w:t>
      </w:r>
      <w:bookmarkEnd w:id="212"/>
      <w:bookmarkEnd w:id="213"/>
      <w:bookmarkEnd w:id="214"/>
      <w:bookmarkEnd w:id="215"/>
      <w:bookmarkEnd w:id="216"/>
      <w:bookmarkEnd w:id="217"/>
      <w:bookmarkEnd w:id="257"/>
      <w:bookmarkEnd w:id="258"/>
      <w:bookmarkEnd w:id="259"/>
    </w:p>
    <w:p>
      <w:pPr>
        <w:tabs>
          <w:tab w:val="clear" w:pos="426"/>
        </w:tabs>
      </w:pPr>
      <w:bookmarkStart w:id="260" w:name="_Toc201997841"/>
      <w:bookmarkStart w:id="261" w:name="_Toc201401580"/>
      <w:bookmarkStart w:id="262" w:name="_Toc201401388"/>
      <w:bookmarkStart w:id="263" w:name="_Toc148780243"/>
      <w:bookmarkStart w:id="264" w:name="_Toc148779957"/>
      <w:bookmarkStart w:id="265" w:name="_Toc148329806"/>
      <w:bookmarkStart w:id="266" w:name="_Toc157847825"/>
      <w:bookmarkStart w:id="267" w:name="_Toc135666820"/>
      <w:bookmarkStart w:id="268" w:name="_Toc148778162"/>
      <w:bookmarkStart w:id="269" w:name="_Toc188869286"/>
      <w:bookmarkStart w:id="270" w:name="_Toc163530307"/>
      <w:bookmarkStart w:id="271" w:name="_Toc148954864"/>
      <w:bookmarkStart w:id="272" w:name="_Toc148413305"/>
      <w:bookmarkStart w:id="273" w:name="_Toc143658460"/>
      <w:bookmarkStart w:id="274" w:name="_Toc134852027"/>
      <w:bookmarkStart w:id="275" w:name="_Toc187729585"/>
      <w:bookmarkStart w:id="276" w:name="_Toc148954469"/>
      <w:bookmarkStart w:id="277" w:name="_Toc98817939"/>
      <w:bookmarkStart w:id="278" w:name="_Toc135666633"/>
      <w:bookmarkStart w:id="279" w:name="_Toc73518146"/>
      <w:bookmarkStart w:id="280" w:name="_Toc73517668"/>
      <w:bookmarkStart w:id="281" w:name="_Toc73521576"/>
      <w:bookmarkStart w:id="282" w:name="_Toc73521664"/>
      <w:bookmarkStart w:id="283" w:name="_Toc100052393"/>
      <w:bookmarkStart w:id="284" w:name="_Toc101074882"/>
      <w:r>
        <w:rPr>
          <w:rFonts w:hint="eastAsia"/>
        </w:rPr>
        <w:t>29．　开标</w:t>
      </w:r>
      <w:bookmarkEnd w:id="260"/>
      <w:bookmarkEnd w:id="261"/>
      <w:bookmarkEnd w:id="262"/>
    </w:p>
    <w:p>
      <w:pPr>
        <w:tabs>
          <w:tab w:val="clear" w:pos="426"/>
        </w:tabs>
      </w:pPr>
      <w:bookmarkStart w:id="285" w:name="_Toc201997842"/>
      <w:bookmarkStart w:id="286" w:name="_Toc201401581"/>
      <w:bookmarkStart w:id="287" w:name="_Toc201401389"/>
      <w:r>
        <w:rPr>
          <w:rFonts w:hint="eastAsia"/>
        </w:rPr>
        <w:t>29.1  采购人在“投标须知前附表”中规定的时间、地点组织公开开标。邀请所有投标人代表参加。不参加开标会的投标人，视为其认可开标程序和结果。</w:t>
      </w:r>
      <w:bookmarkEnd w:id="285"/>
      <w:bookmarkEnd w:id="286"/>
      <w:bookmarkEnd w:id="287"/>
    </w:p>
    <w:p>
      <w:pPr>
        <w:tabs>
          <w:tab w:val="clear" w:pos="426"/>
        </w:tabs>
      </w:pPr>
      <w:bookmarkStart w:id="288" w:name="_Toc201997843"/>
      <w:bookmarkStart w:id="289" w:name="_Toc201401582"/>
      <w:bookmarkStart w:id="290" w:name="_Toc201401390"/>
      <w:r>
        <w:rPr>
          <w:rFonts w:hint="eastAsia"/>
        </w:rPr>
        <w:t>29.2  参加开标会议的投标人只委派一名代表，且必须是本单位法定代表人或授权代表，参加会议人员须提供相应的授权委托书。</w:t>
      </w:r>
    </w:p>
    <w:bookmarkEnd w:id="288"/>
    <w:bookmarkEnd w:id="289"/>
    <w:bookmarkEnd w:id="290"/>
    <w:p>
      <w:pPr>
        <w:tabs>
          <w:tab w:val="clear" w:pos="426"/>
        </w:tabs>
      </w:pPr>
      <w:r>
        <w:rPr>
          <w:rFonts w:hint="eastAsia"/>
        </w:rPr>
        <w:t>29.3  开标会由采购代理机构主持，开标程序如下：</w:t>
      </w:r>
    </w:p>
    <w:p>
      <w:pPr>
        <w:tabs>
          <w:tab w:val="clear" w:pos="426"/>
        </w:tabs>
      </w:pPr>
      <w:r>
        <w:rPr>
          <w:rFonts w:hint="eastAsia"/>
        </w:rPr>
        <w:t xml:space="preserve">29.3.1  采购代理机构核对法人代表或其授权代表身份证明，若不能提供相应的身份证明或不相符，则不能参与开标会议； </w:t>
      </w:r>
    </w:p>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Pr>
        <w:tabs>
          <w:tab w:val="clear" w:pos="426"/>
        </w:tabs>
        <w:rPr>
          <w:color w:val="000000"/>
          <w:szCs w:val="21"/>
        </w:rPr>
      </w:pPr>
      <w:r>
        <w:rPr>
          <w:rFonts w:hint="eastAsia"/>
          <w:color w:val="000000"/>
          <w:szCs w:val="21"/>
        </w:rPr>
        <w:t>29.3.2  招标机构将按“采购公告”规定的时间和地点组织公开开标。投标人应委派代表参加，参加开标的代表应签名报到以证明出席。</w:t>
      </w:r>
    </w:p>
    <w:p>
      <w:pPr>
        <w:tabs>
          <w:tab w:val="clear" w:pos="426"/>
        </w:tabs>
        <w:rPr>
          <w:color w:val="000000"/>
          <w:szCs w:val="21"/>
        </w:rPr>
      </w:pPr>
      <w:r>
        <w:rPr>
          <w:rFonts w:hint="eastAsia"/>
          <w:color w:val="000000"/>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pPr>
        <w:tabs>
          <w:tab w:val="clear" w:pos="426"/>
        </w:tabs>
        <w:ind w:firstLine="411" w:firstLineChars="196"/>
        <w:rPr>
          <w:color w:val="000000"/>
          <w:szCs w:val="21"/>
        </w:rPr>
      </w:pPr>
      <w:r>
        <w:rPr>
          <w:rFonts w:hint="eastAsia"/>
          <w:color w:val="000000"/>
          <w:szCs w:val="21"/>
        </w:rPr>
        <w:t>除了按照本通用条款第26条规定原封退回的投标之外，开标时将不得拒绝任何投标书。</w:t>
      </w:r>
    </w:p>
    <w:p>
      <w:pPr>
        <w:tabs>
          <w:tab w:val="clear" w:pos="426"/>
        </w:tabs>
        <w:rPr>
          <w:color w:val="000000"/>
          <w:szCs w:val="21"/>
        </w:rPr>
      </w:pPr>
      <w:r>
        <w:rPr>
          <w:color w:val="000000"/>
          <w:szCs w:val="21"/>
        </w:rPr>
        <w:t>2</w:t>
      </w:r>
      <w:r>
        <w:rPr>
          <w:rFonts w:hint="eastAsia"/>
          <w:color w:val="000000"/>
          <w:szCs w:val="21"/>
        </w:rPr>
        <w:t>9</w:t>
      </w:r>
      <w:r>
        <w:rPr>
          <w:color w:val="000000"/>
          <w:szCs w:val="21"/>
        </w:rPr>
        <w:t>.3</w:t>
      </w:r>
      <w:r>
        <w:rPr>
          <w:rFonts w:hint="eastAsia"/>
          <w:color w:val="000000"/>
          <w:szCs w:val="21"/>
        </w:rPr>
        <w:t xml:space="preserve">.4 </w:t>
      </w:r>
      <w:r>
        <w:rPr>
          <w:color w:val="000000"/>
          <w:szCs w:val="21"/>
        </w:rPr>
        <w:t xml:space="preserve"> </w:t>
      </w:r>
      <w:r>
        <w:rPr>
          <w:rFonts w:hint="eastAsia"/>
          <w:color w:val="000000"/>
          <w:szCs w:val="21"/>
        </w:rPr>
        <w:t>开标时，招标机构仅拆封开标信封。如投标人未单独密封包装开标信封，招标机构有权拆封投标文件。</w:t>
      </w:r>
    </w:p>
    <w:p>
      <w:pPr>
        <w:tabs>
          <w:tab w:val="clear" w:pos="426"/>
        </w:tabs>
        <w:rPr>
          <w:color w:val="000000"/>
          <w:szCs w:val="21"/>
        </w:rPr>
      </w:pPr>
      <w:r>
        <w:rPr>
          <w:color w:val="000000"/>
          <w:szCs w:val="21"/>
        </w:rPr>
        <w:t>2</w:t>
      </w:r>
      <w:r>
        <w:rPr>
          <w:rFonts w:hint="eastAsia"/>
          <w:color w:val="000000"/>
          <w:szCs w:val="21"/>
        </w:rPr>
        <w:t>9</w:t>
      </w:r>
      <w:r>
        <w:rPr>
          <w:color w:val="000000"/>
          <w:szCs w:val="21"/>
        </w:rPr>
        <w:t>.</w:t>
      </w:r>
      <w:r>
        <w:rPr>
          <w:rFonts w:hint="eastAsia"/>
          <w:color w:val="000000"/>
          <w:szCs w:val="21"/>
        </w:rPr>
        <w:t>3.5</w:t>
      </w:r>
      <w:r>
        <w:rPr>
          <w:color w:val="000000"/>
          <w:szCs w:val="21"/>
        </w:rPr>
        <w:t xml:space="preserve">  </w:t>
      </w:r>
      <w:r>
        <w:rPr>
          <w:rFonts w:hint="eastAsia"/>
          <w:color w:val="000000"/>
          <w:szCs w:val="21"/>
        </w:rPr>
        <w:t>按照投标人须知第</w:t>
      </w:r>
      <w:r>
        <w:rPr>
          <w:color w:val="000000"/>
          <w:szCs w:val="21"/>
        </w:rPr>
        <w:t>2</w:t>
      </w:r>
      <w:r>
        <w:rPr>
          <w:rFonts w:hint="eastAsia"/>
          <w:color w:val="000000"/>
          <w:szCs w:val="21"/>
        </w:rPr>
        <w:t>8条规定，提交了可接受的“撤回”通知的投标将不予开封。</w:t>
      </w:r>
    </w:p>
    <w:p>
      <w:pPr>
        <w:tabs>
          <w:tab w:val="clear" w:pos="426"/>
        </w:tabs>
        <w:rPr>
          <w:color w:val="000000"/>
          <w:szCs w:val="21"/>
        </w:rPr>
      </w:pPr>
      <w:r>
        <w:rPr>
          <w:color w:val="000000"/>
          <w:szCs w:val="21"/>
        </w:rPr>
        <w:t>2</w:t>
      </w:r>
      <w:r>
        <w:rPr>
          <w:rFonts w:hint="eastAsia"/>
          <w:color w:val="000000"/>
          <w:szCs w:val="21"/>
        </w:rPr>
        <w:t>9</w:t>
      </w:r>
      <w:r>
        <w:rPr>
          <w:color w:val="000000"/>
          <w:szCs w:val="21"/>
        </w:rPr>
        <w:t>.</w:t>
      </w:r>
      <w:r>
        <w:rPr>
          <w:rFonts w:hint="eastAsia"/>
          <w:color w:val="000000"/>
          <w:szCs w:val="21"/>
        </w:rPr>
        <w:t xml:space="preserve">3.6 </w:t>
      </w:r>
      <w:r>
        <w:rPr>
          <w:color w:val="000000"/>
          <w:szCs w:val="21"/>
        </w:rPr>
        <w:t xml:space="preserve"> </w:t>
      </w:r>
      <w:r>
        <w:rPr>
          <w:rFonts w:hint="eastAsia"/>
          <w:color w:val="000000"/>
          <w:szCs w:val="21"/>
        </w:rPr>
        <w:t>无论如何在开标时没有启封和读出的投标书在评标时将不予考虑。撤回的投标书将原封退回投标人。</w:t>
      </w:r>
    </w:p>
    <w:p>
      <w:pPr>
        <w:tabs>
          <w:tab w:val="clear" w:pos="426"/>
        </w:tabs>
        <w:rPr>
          <w:color w:val="000000"/>
          <w:szCs w:val="21"/>
        </w:rPr>
      </w:pPr>
      <w:r>
        <w:rPr>
          <w:color w:val="000000"/>
          <w:szCs w:val="21"/>
        </w:rPr>
        <w:t>2</w:t>
      </w:r>
      <w:r>
        <w:rPr>
          <w:rFonts w:hint="eastAsia"/>
          <w:color w:val="000000"/>
          <w:szCs w:val="21"/>
        </w:rPr>
        <w:t>9.3.7</w:t>
      </w:r>
      <w:r>
        <w:rPr>
          <w:color w:val="000000"/>
          <w:szCs w:val="21"/>
        </w:rPr>
        <w:t xml:space="preserve">  </w:t>
      </w:r>
      <w:r>
        <w:rPr>
          <w:rFonts w:hint="eastAsia"/>
          <w:color w:val="000000"/>
          <w:szCs w:val="21"/>
        </w:rPr>
        <w:t>招标机构将做开标记录，开标记录包括按本通用条款第</w:t>
      </w:r>
      <w:r>
        <w:rPr>
          <w:color w:val="000000"/>
          <w:szCs w:val="21"/>
        </w:rPr>
        <w:t>2</w:t>
      </w:r>
      <w:r>
        <w:rPr>
          <w:rFonts w:hint="eastAsia"/>
          <w:color w:val="000000"/>
          <w:szCs w:val="21"/>
        </w:rPr>
        <w:t>9</w:t>
      </w:r>
      <w:r>
        <w:rPr>
          <w:color w:val="000000"/>
          <w:szCs w:val="21"/>
        </w:rPr>
        <w:t>.</w:t>
      </w:r>
      <w:r>
        <w:rPr>
          <w:rFonts w:hint="eastAsia"/>
          <w:color w:val="000000"/>
          <w:szCs w:val="21"/>
        </w:rPr>
        <w:t>3.3的规定在开标时宣读的全部内容。</w:t>
      </w:r>
    </w:p>
    <w:p>
      <w:pPr>
        <w:tabs>
          <w:tab w:val="clear" w:pos="426"/>
        </w:tabs>
      </w:pPr>
      <w:r>
        <w:rPr>
          <w:rFonts w:hint="eastAsia"/>
        </w:rPr>
        <w:t>29.3.8  供应商在开标过程中知道或者应知其权益受到损害时必须现场明确提出，未明确提出的，即视为认可开标结果。</w:t>
      </w:r>
    </w:p>
    <w:p>
      <w:pPr>
        <w:pStyle w:val="6"/>
        <w:tabs>
          <w:tab w:val="clear" w:pos="426"/>
        </w:tabs>
      </w:pPr>
      <w:bookmarkStart w:id="291" w:name="_Toc3628668"/>
      <w:bookmarkStart w:id="292" w:name="_Toc432592825"/>
      <w:bookmarkStart w:id="293" w:name="_Toc398220533"/>
      <w:r>
        <w:rPr>
          <w:rFonts w:hint="eastAsia"/>
        </w:rPr>
        <w:t>第五章 评标</w:t>
      </w:r>
      <w:bookmarkEnd w:id="279"/>
      <w:bookmarkEnd w:id="280"/>
      <w:bookmarkEnd w:id="281"/>
      <w:bookmarkEnd w:id="282"/>
      <w:r>
        <w:rPr>
          <w:rFonts w:hint="eastAsia"/>
        </w:rPr>
        <w:t>要求</w:t>
      </w:r>
      <w:bookmarkEnd w:id="283"/>
      <w:bookmarkEnd w:id="284"/>
      <w:bookmarkEnd w:id="291"/>
      <w:bookmarkEnd w:id="292"/>
      <w:bookmarkEnd w:id="293"/>
    </w:p>
    <w:p>
      <w:pPr>
        <w:tabs>
          <w:tab w:val="clear" w:pos="426"/>
        </w:tabs>
      </w:pPr>
      <w:bookmarkStart w:id="294" w:name="bt评标会议"/>
      <w:bookmarkEnd w:id="294"/>
      <w:bookmarkStart w:id="295" w:name="_Toc73517669"/>
      <w:bookmarkStart w:id="296" w:name="_Toc73518147"/>
      <w:bookmarkStart w:id="297" w:name="_Toc73521665"/>
      <w:bookmarkStart w:id="298" w:name="_Toc73521577"/>
      <w:bookmarkStart w:id="299" w:name="_Toc100052394"/>
      <w:r>
        <w:rPr>
          <w:rFonts w:hint="eastAsia"/>
        </w:rPr>
        <w:t>30．评标委员会组成</w:t>
      </w:r>
    </w:p>
    <w:p>
      <w:pPr>
        <w:tabs>
          <w:tab w:val="clear" w:pos="426"/>
        </w:tabs>
      </w:pPr>
      <w:r>
        <w:rPr>
          <w:rFonts w:hint="eastAsia"/>
        </w:rPr>
        <w:t>30.1开标结束后召开评标会议，评标委员会由采购代理机构依法组建，负责评标活动。</w:t>
      </w:r>
    </w:p>
    <w:p>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深财购</w:t>
      </w:r>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pPr>
        <w:tabs>
          <w:tab w:val="clear" w:pos="426"/>
        </w:tabs>
      </w:pPr>
      <w:r>
        <w:rPr>
          <w:rFonts w:hint="eastAsia"/>
        </w:rPr>
        <w:t>为保证评委人选的专业性，以及评标中的公平公正性，评标委员会成员从深圳市财政委员会评标专家库中随机抽取。</w:t>
      </w:r>
    </w:p>
    <w:p>
      <w:pPr>
        <w:tabs>
          <w:tab w:val="clear" w:pos="426"/>
        </w:tabs>
      </w:pPr>
      <w:r>
        <w:rPr>
          <w:rFonts w:hint="eastAsia"/>
        </w:rPr>
        <w:t>采购单位代表须持本单位签发的《评标授权书》参加评标。</w:t>
      </w:r>
    </w:p>
    <w:p>
      <w:pPr>
        <w:tabs>
          <w:tab w:val="clear" w:pos="426"/>
        </w:tabs>
      </w:pPr>
      <w:r>
        <w:rPr>
          <w:rFonts w:hint="eastAsia"/>
        </w:rPr>
        <w:t>采购单位无代表参与评标，应在开标前一天提交《采购单位不派评委参与项目评标承诺书》给采购代理机构。</w:t>
      </w:r>
    </w:p>
    <w:p>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pPr>
        <w:tabs>
          <w:tab w:val="clear" w:pos="426"/>
        </w:tabs>
      </w:pPr>
      <w:r>
        <w:rPr>
          <w:rFonts w:hint="eastAsia"/>
        </w:rPr>
        <w:t>30.2评标定标应当遵循公平、公正、科学、择优的原则。</w:t>
      </w:r>
    </w:p>
    <w:p>
      <w:pPr>
        <w:tabs>
          <w:tab w:val="clear" w:pos="426"/>
        </w:tabs>
      </w:pPr>
      <w:r>
        <w:rPr>
          <w:rFonts w:hint="eastAsia"/>
        </w:rPr>
        <w:t>30.3评标活动依法进行，任何单位和个人不得非法干预评标过程和结果。</w:t>
      </w:r>
    </w:p>
    <w:p>
      <w:pPr>
        <w:tabs>
          <w:tab w:val="clear" w:pos="426"/>
        </w:tabs>
      </w:pPr>
      <w:r>
        <w:rPr>
          <w:rFonts w:hint="eastAsia"/>
        </w:rPr>
        <w:t>30.4评标过程中不允许违背评标程序或采用招标文件未载明的评标方法或评标因素进行评标。</w:t>
      </w:r>
    </w:p>
    <w:p>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pPr>
        <w:tabs>
          <w:tab w:val="clear" w:pos="426"/>
        </w:tabs>
      </w:pPr>
      <w:r>
        <w:rPr>
          <w:rFonts w:hint="eastAsia"/>
        </w:rPr>
        <w:t>31．向评标委员会提供的资料</w:t>
      </w:r>
    </w:p>
    <w:p>
      <w:pPr>
        <w:tabs>
          <w:tab w:val="clear" w:pos="426"/>
        </w:tabs>
      </w:pPr>
      <w:r>
        <w:rPr>
          <w:rFonts w:hint="eastAsia"/>
        </w:rPr>
        <w:t>31.1公开发布的招标文件，包括图纸、服务清单、答疑文件等；</w:t>
      </w:r>
    </w:p>
    <w:p>
      <w:pPr>
        <w:tabs>
          <w:tab w:val="clear" w:pos="426"/>
        </w:tabs>
      </w:pPr>
      <w:r>
        <w:rPr>
          <w:rFonts w:hint="eastAsia"/>
        </w:rPr>
        <w:t>31.2其他评标必须的资料。</w:t>
      </w:r>
    </w:p>
    <w:p>
      <w:pPr>
        <w:tabs>
          <w:tab w:val="clear" w:pos="426"/>
        </w:tabs>
      </w:pPr>
      <w:r>
        <w:rPr>
          <w:rFonts w:hint="eastAsia"/>
        </w:rPr>
        <w:t>31.3评标委员会应当认真研究招标文件，至少应了解熟悉以下内容：</w:t>
      </w:r>
    </w:p>
    <w:p>
      <w:pPr>
        <w:tabs>
          <w:tab w:val="clear" w:pos="426"/>
        </w:tabs>
      </w:pPr>
      <w:r>
        <w:rPr>
          <w:rFonts w:hint="eastAsia"/>
        </w:rPr>
        <w:t>（1）招标的目的；</w:t>
      </w:r>
    </w:p>
    <w:p>
      <w:pPr>
        <w:tabs>
          <w:tab w:val="clear" w:pos="426"/>
        </w:tabs>
      </w:pPr>
      <w:r>
        <w:rPr>
          <w:rFonts w:hint="eastAsia"/>
        </w:rPr>
        <w:t>（2）招标项目需求的范围和性质；</w:t>
      </w:r>
    </w:p>
    <w:p>
      <w:pPr>
        <w:tabs>
          <w:tab w:val="clear" w:pos="426"/>
        </w:tabs>
      </w:pPr>
      <w:r>
        <w:rPr>
          <w:rFonts w:hint="eastAsia"/>
        </w:rPr>
        <w:t>（3）招标文件规定的投标人的资格、财政预算限额、商务条款；</w:t>
      </w:r>
    </w:p>
    <w:p>
      <w:pPr>
        <w:tabs>
          <w:tab w:val="clear" w:pos="426"/>
        </w:tabs>
      </w:pPr>
      <w:r>
        <w:rPr>
          <w:rFonts w:hint="eastAsia"/>
        </w:rPr>
        <w:t>（4）招标文件规定的评标程序、评标方法和评标因素；</w:t>
      </w:r>
    </w:p>
    <w:p>
      <w:pPr>
        <w:tabs>
          <w:tab w:val="clear" w:pos="426"/>
        </w:tabs>
      </w:pPr>
      <w:r>
        <w:rPr>
          <w:rFonts w:hint="eastAsia"/>
        </w:rPr>
        <w:t>（5）招标文件所列示的投标文件“资格、符合性评审条款”。</w:t>
      </w:r>
    </w:p>
    <w:p>
      <w:pPr>
        <w:tabs>
          <w:tab w:val="clear" w:pos="426"/>
        </w:tabs>
      </w:pPr>
      <w:r>
        <w:rPr>
          <w:rFonts w:hint="eastAsia"/>
        </w:rPr>
        <w:t>32．独立评标</w:t>
      </w:r>
    </w:p>
    <w:p>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End w:id="295"/>
      <w:bookmarkEnd w:id="296"/>
      <w:bookmarkEnd w:id="297"/>
      <w:bookmarkEnd w:id="298"/>
      <w:bookmarkEnd w:id="299"/>
      <w:bookmarkStart w:id="300" w:name="bt错误的修正"/>
      <w:bookmarkEnd w:id="300"/>
      <w:bookmarkStart w:id="301" w:name="bt评标过程的保密"/>
      <w:bookmarkEnd w:id="301"/>
    </w:p>
    <w:p>
      <w:pPr>
        <w:pStyle w:val="6"/>
        <w:tabs>
          <w:tab w:val="clear" w:pos="426"/>
        </w:tabs>
      </w:pPr>
      <w:bookmarkStart w:id="302" w:name="_Toc3628669"/>
      <w:bookmarkStart w:id="303" w:name="_Toc432592826"/>
      <w:bookmarkStart w:id="304" w:name="_Toc398220534"/>
      <w:bookmarkStart w:id="305" w:name="_Toc101074883"/>
      <w:bookmarkStart w:id="306" w:name="_Toc100052397"/>
      <w:r>
        <w:rPr>
          <w:rFonts w:hint="eastAsia"/>
        </w:rPr>
        <w:t>第六章 评标程序</w:t>
      </w:r>
      <w:bookmarkStart w:id="307" w:name="bt投标文件的审查"/>
      <w:bookmarkEnd w:id="307"/>
      <w:bookmarkStart w:id="308" w:name="_Toc73518149"/>
      <w:bookmarkStart w:id="309" w:name="_Toc73521579"/>
      <w:bookmarkStart w:id="310" w:name="_Toc73521667"/>
      <w:bookmarkStart w:id="311" w:name="_Toc73517671"/>
      <w:r>
        <w:rPr>
          <w:rFonts w:hint="eastAsia"/>
        </w:rPr>
        <w:t>及评标方法</w:t>
      </w:r>
      <w:bookmarkEnd w:id="302"/>
      <w:bookmarkEnd w:id="303"/>
      <w:bookmarkEnd w:id="304"/>
      <w:bookmarkEnd w:id="305"/>
      <w:bookmarkEnd w:id="306"/>
    </w:p>
    <w:p>
      <w:pPr>
        <w:tabs>
          <w:tab w:val="clear" w:pos="426"/>
        </w:tabs>
      </w:pPr>
      <w:bookmarkStart w:id="312" w:name="_Toc100052398"/>
      <w:r>
        <w:rPr>
          <w:rFonts w:hint="eastAsia"/>
        </w:rPr>
        <w:t>33．投标文件初审</w:t>
      </w:r>
      <w:bookmarkEnd w:id="312"/>
    </w:p>
    <w:bookmarkEnd w:id="308"/>
    <w:bookmarkEnd w:id="309"/>
    <w:bookmarkEnd w:id="310"/>
    <w:bookmarkEnd w:id="311"/>
    <w:p>
      <w:pPr>
        <w:widowControl w:val="0"/>
        <w:shd w:val="clear" w:color="auto" w:fill="auto"/>
        <w:tabs>
          <w:tab w:val="clear" w:pos="426"/>
        </w:tabs>
        <w:autoSpaceDE w:val="0"/>
        <w:autoSpaceDN w:val="0"/>
        <w:rPr>
          <w:rFonts w:cs="黑体"/>
          <w:b/>
          <w:bCs/>
          <w:szCs w:val="21"/>
        </w:rPr>
      </w:pPr>
      <w:r>
        <w:rPr>
          <w:rFonts w:hint="eastAsia"/>
        </w:rPr>
        <w:t xml:space="preserve">33.1 </w:t>
      </w:r>
      <w:r>
        <w:rPr>
          <w:rFonts w:hint="eastAsia"/>
          <w:szCs w:val="21"/>
          <w:lang w:eastAsia="zh-TW"/>
        </w:rPr>
        <w:t>评标委员会将</w:t>
      </w:r>
      <w:r>
        <w:rPr>
          <w:rFonts w:hint="eastAsia"/>
          <w:szCs w:val="21"/>
        </w:rPr>
        <w:t>依法对投标文件进行初审。</w:t>
      </w:r>
      <w:r>
        <w:rPr>
          <w:rFonts w:hint="eastAsia"/>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pPr>
        <w:tabs>
          <w:tab w:val="clear" w:pos="426"/>
        </w:tabs>
        <w:rPr>
          <w:b/>
        </w:rPr>
      </w:pPr>
      <w:r>
        <w:rPr>
          <w:rFonts w:hint="eastAsia"/>
        </w:rPr>
        <w:t>33.2 投标文件初审内容请详见“</w:t>
      </w:r>
      <w:r>
        <w:rPr>
          <w:rFonts w:hint="eastAsia"/>
          <w:b/>
        </w:rPr>
        <w:t>资格性审查表、符合性审查表</w:t>
      </w:r>
      <w:r>
        <w:rPr>
          <w:rFonts w:hint="eastAsia"/>
        </w:rPr>
        <w:t>”。投标人若有一条审查不通过则按无效标处理。评标委员会对投标单位打√为通过审查，打×为未通过审查。</w:t>
      </w:r>
    </w:p>
    <w:p>
      <w:pPr>
        <w:tabs>
          <w:tab w:val="clear" w:pos="426"/>
        </w:tabs>
      </w:pPr>
      <w:r>
        <w:t>33.3 投标文件初审中关于供应商家数的计算</w:t>
      </w:r>
    </w:p>
    <w:p>
      <w:pPr>
        <w:tabs>
          <w:tab w:val="clear" w:pos="426"/>
        </w:tabs>
        <w:rPr>
          <w:highlight w:val="yellow"/>
        </w:rPr>
      </w:pPr>
      <w:r>
        <w:rPr>
          <w:highlight w:val="yellow"/>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tabs>
          <w:tab w:val="clear" w:pos="426"/>
        </w:tabs>
        <w:rPr>
          <w:highlight w:val="yellow"/>
        </w:rPr>
      </w:pPr>
      <w:r>
        <w:rPr>
          <w:highlight w:val="yellow"/>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tabs>
          <w:tab w:val="clear" w:pos="426"/>
        </w:tabs>
        <w:rPr>
          <w:highlight w:val="yellow"/>
        </w:rPr>
      </w:pPr>
      <w:r>
        <w:rPr>
          <w:highlight w:val="yellow"/>
        </w:rPr>
        <w:t>33.3.3非单一产品采购项目，采购人应当根据采购项目技术构成、产品价格比重等合理确定核心产品，并在招标文件中载明。多家投标人提供的核心产品品牌相同的，按前两款规定处理。</w:t>
      </w:r>
    </w:p>
    <w:p>
      <w:pPr>
        <w:tabs>
          <w:tab w:val="clear" w:pos="426"/>
        </w:tabs>
      </w:pPr>
      <w:r>
        <w:rPr>
          <w:highlight w:val="yellow"/>
        </w:rPr>
        <w:t>33.3.4公开招标以外采购方式以及政府采购服务和工程涉及采购货物的项目，也按此方法计算供应商家数。</w:t>
      </w:r>
    </w:p>
    <w:p>
      <w:pPr>
        <w:tabs>
          <w:tab w:val="clear" w:pos="426"/>
        </w:tabs>
        <w:rPr>
          <w:b/>
          <w:bCs/>
        </w:rPr>
      </w:pPr>
      <w:r>
        <w:rPr>
          <w:rFonts w:hint="eastAsia"/>
        </w:rPr>
        <w:t>33.4 对不属于投标文件“</w:t>
      </w:r>
      <w:r>
        <w:rPr>
          <w:rFonts w:hint="eastAsia"/>
          <w:b/>
        </w:rPr>
        <w:t>资格、符合性评审条款</w:t>
      </w:r>
      <w:r>
        <w:rPr>
          <w:rFonts w:hint="eastAsia"/>
        </w:rPr>
        <w:t>”要所列不符合的情形，除法律法规另有规定外，不得作为废标的理由。</w:t>
      </w:r>
    </w:p>
    <w:p>
      <w:pPr>
        <w:tabs>
          <w:tab w:val="clear" w:pos="426"/>
        </w:tabs>
      </w:pPr>
      <w:bookmarkStart w:id="313" w:name="_Toc100052399"/>
      <w:r>
        <w:rPr>
          <w:rFonts w:hint="eastAsia"/>
        </w:rPr>
        <w:t>34．澄清有关问题</w:t>
      </w:r>
      <w:bookmarkEnd w:id="313"/>
    </w:p>
    <w:p>
      <w:pPr>
        <w:tabs>
          <w:tab w:val="clear" w:pos="426"/>
        </w:tabs>
      </w:pPr>
      <w:bookmarkStart w:id="314" w:name="bt投标文件的澄清"/>
      <w:bookmarkEnd w:id="314"/>
      <w:bookmarkStart w:id="315" w:name="bt投标文件的评估和比较"/>
      <w:bookmarkEnd w:id="315"/>
      <w:bookmarkStart w:id="316" w:name="bt废标"/>
      <w:bookmarkEnd w:id="316"/>
      <w:bookmarkStart w:id="317" w:name="_Toc73521671"/>
      <w:bookmarkStart w:id="318" w:name="_Toc73521583"/>
      <w:bookmarkStart w:id="319" w:name="_Toc73517675"/>
      <w:bookmarkStart w:id="320" w:name="_Toc73518153"/>
      <w:r>
        <w:rPr>
          <w:rFonts w:hint="eastAsia"/>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pPr>
        <w:tabs>
          <w:tab w:val="clear" w:pos="426"/>
        </w:tabs>
      </w:pPr>
      <w:bookmarkStart w:id="321" w:name="_Toc100052400"/>
      <w:bookmarkStart w:id="322" w:name="_Toc73518151"/>
      <w:bookmarkStart w:id="323" w:name="_Toc73521669"/>
      <w:bookmarkStart w:id="324" w:name="_Toc73521581"/>
      <w:bookmarkStart w:id="325" w:name="_Toc73517673"/>
      <w:r>
        <w:rPr>
          <w:rFonts w:hint="eastAsia"/>
        </w:rPr>
        <w:t>35．错误的修正</w:t>
      </w:r>
      <w:bookmarkEnd w:id="321"/>
      <w:bookmarkEnd w:id="322"/>
      <w:bookmarkEnd w:id="323"/>
      <w:bookmarkEnd w:id="324"/>
      <w:bookmarkEnd w:id="325"/>
    </w:p>
    <w:p>
      <w:pPr>
        <w:tabs>
          <w:tab w:val="clear" w:pos="426"/>
        </w:tabs>
      </w:pPr>
      <w:r>
        <w:rPr>
          <w:rFonts w:hint="eastAsia"/>
        </w:rPr>
        <w:t>35</w:t>
      </w:r>
      <w:r>
        <w:t xml:space="preserve">.1 </w:t>
      </w:r>
      <w:r>
        <w:rPr>
          <w:rFonts w:hint="eastAsia"/>
        </w:rPr>
        <w:t>评标委员会将审查投标文件是否完整、总体编排是否有序、文件签署是否合格、投标人是否提交了投标保证金、有无计算上的错误等。</w:t>
      </w:r>
    </w:p>
    <w:p>
      <w:pPr>
        <w:tabs>
          <w:tab w:val="clear" w:pos="426"/>
        </w:tabs>
      </w:pPr>
      <w:r>
        <w:rPr>
          <w:rFonts w:hint="eastAsia"/>
        </w:rPr>
        <w:t>35.2  算术错误将按以下方法更正（次序排先者优先）：</w:t>
      </w:r>
    </w:p>
    <w:p>
      <w:pPr>
        <w:tabs>
          <w:tab w:val="clear" w:pos="426"/>
        </w:tabs>
        <w:rPr>
          <w:highlight w:val="yellow"/>
        </w:rPr>
      </w:pPr>
      <w:r>
        <w:rPr>
          <w:rFonts w:hint="eastAsia"/>
          <w:highlight w:val="yellow"/>
        </w:rPr>
        <w:t>35.2.1投标文件中开标一览表（报价表）内容与投标文件中相应内容不一致的，以开标一览表（报价表）为准；</w:t>
      </w:r>
    </w:p>
    <w:p>
      <w:pPr>
        <w:tabs>
          <w:tab w:val="clear" w:pos="426"/>
        </w:tabs>
        <w:rPr>
          <w:highlight w:val="yellow"/>
        </w:rPr>
      </w:pPr>
      <w:r>
        <w:rPr>
          <w:rFonts w:hint="eastAsia"/>
          <w:highlight w:val="yellow"/>
        </w:rPr>
        <w:t>35.2.2大写金额和小写金额不一致的，以大写金额为准；</w:t>
      </w:r>
    </w:p>
    <w:p>
      <w:pPr>
        <w:tabs>
          <w:tab w:val="clear" w:pos="426"/>
        </w:tabs>
        <w:rPr>
          <w:highlight w:val="yellow"/>
        </w:rPr>
      </w:pPr>
      <w:r>
        <w:rPr>
          <w:rFonts w:hint="eastAsia"/>
          <w:highlight w:val="yellow"/>
        </w:rPr>
        <w:t>35.2.3单价金额小数点或者百分比有明显错位的，以开标一览表的总价为准，并修改单价；</w:t>
      </w:r>
    </w:p>
    <w:p>
      <w:pPr>
        <w:tabs>
          <w:tab w:val="clear" w:pos="426"/>
        </w:tabs>
        <w:rPr>
          <w:highlight w:val="yellow"/>
        </w:rPr>
      </w:pPr>
      <w:r>
        <w:rPr>
          <w:rFonts w:hint="eastAsia"/>
          <w:highlight w:val="yellow"/>
        </w:rPr>
        <w:t>35.2.4总价金额与按单价汇总金额不一致的，以单价金额计算结果为准；</w:t>
      </w:r>
    </w:p>
    <w:p>
      <w:pPr>
        <w:tabs>
          <w:tab w:val="clear" w:pos="426"/>
        </w:tabs>
      </w:pPr>
      <w:r>
        <w:rPr>
          <w:rFonts w:hint="eastAsia"/>
          <w:highlight w:val="yellow"/>
        </w:rPr>
        <w:t>35.2.5 对不同文字文本投标文件的解释发生异议的，以中文文本为准。</w:t>
      </w:r>
    </w:p>
    <w:p>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如果投标人不接受修正后的报价，则其投标将被拒绝并且其投标保证金也将被没收，并不影响评标工作。</w:t>
      </w:r>
    </w:p>
    <w:p>
      <w:pPr>
        <w:tabs>
          <w:tab w:val="clear" w:pos="426"/>
        </w:tabs>
      </w:pPr>
      <w:bookmarkStart w:id="326" w:name="_Toc100052401"/>
      <w:r>
        <w:rPr>
          <w:rFonts w:hint="eastAsia"/>
        </w:rPr>
        <w:t>36．投标文件的</w:t>
      </w:r>
      <w:bookmarkEnd w:id="317"/>
      <w:bookmarkEnd w:id="318"/>
      <w:bookmarkEnd w:id="319"/>
      <w:bookmarkEnd w:id="320"/>
      <w:r>
        <w:rPr>
          <w:rFonts w:hint="eastAsia"/>
        </w:rPr>
        <w:t>比较与评价</w:t>
      </w:r>
      <w:bookmarkEnd w:id="326"/>
    </w:p>
    <w:p>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pPr>
        <w:tabs>
          <w:tab w:val="clear" w:pos="426"/>
        </w:tabs>
      </w:pPr>
      <w:r>
        <w:rPr>
          <w:rFonts w:hint="eastAsia"/>
        </w:rPr>
        <w:t>36.3 评标委员会应当对投标人的投标文件进行分析和比较。</w:t>
      </w:r>
    </w:p>
    <w:p>
      <w:pPr>
        <w:tabs>
          <w:tab w:val="clear" w:pos="426"/>
        </w:tabs>
      </w:pPr>
      <w:r>
        <w:rPr>
          <w:rFonts w:hint="eastAsia"/>
        </w:rPr>
        <w:t>36.4  评标委员会应当根据招标文件规定，对投标文件中的每项评审内容进行评审。</w:t>
      </w:r>
    </w:p>
    <w:p>
      <w:pPr>
        <w:tabs>
          <w:tab w:val="clear" w:pos="426"/>
        </w:tabs>
        <w:rPr>
          <w:kern w:val="10"/>
        </w:rPr>
      </w:pPr>
      <w:r>
        <w:rPr>
          <w:rFonts w:hint="eastAsia"/>
          <w:kern w:val="10"/>
        </w:rPr>
        <w:t>36.5  投标文件存在重大偏离的，应作废标处理。下列情况属于重大偏离：</w:t>
      </w:r>
    </w:p>
    <w:p>
      <w:pPr>
        <w:tabs>
          <w:tab w:val="clear" w:pos="426"/>
        </w:tabs>
        <w:rPr>
          <w:kern w:val="10"/>
        </w:rPr>
      </w:pPr>
      <w:r>
        <w:rPr>
          <w:rFonts w:hint="eastAsia"/>
          <w:kern w:val="10"/>
        </w:rPr>
        <w:t>36.5.1  投标人以他人的名义投标或出现下列串通投标、弄虚作假投标嫌疑的：</w:t>
      </w:r>
    </w:p>
    <w:p>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pPr>
        <w:tabs>
          <w:tab w:val="clear" w:pos="426"/>
        </w:tabs>
        <w:rPr>
          <w:kern w:val="10"/>
        </w:rPr>
      </w:pPr>
      <w:r>
        <w:rPr>
          <w:rFonts w:hint="eastAsia"/>
          <w:kern w:val="10"/>
        </w:rPr>
        <w:t xml:space="preserve">36.5.1.2  </w:t>
      </w:r>
      <w:r>
        <w:rPr>
          <w:kern w:val="10"/>
        </w:rPr>
        <w:t>不同投标人的投标文件错漏之处一致的；</w:t>
      </w:r>
    </w:p>
    <w:p>
      <w:pPr>
        <w:tabs>
          <w:tab w:val="clear" w:pos="426"/>
        </w:tabs>
        <w:rPr>
          <w:kern w:val="10"/>
        </w:rPr>
      </w:pPr>
      <w:r>
        <w:rPr>
          <w:rFonts w:hint="eastAsia"/>
          <w:kern w:val="10"/>
        </w:rPr>
        <w:t xml:space="preserve">36.5.1.3  </w:t>
      </w:r>
      <w:r>
        <w:rPr>
          <w:kern w:val="10"/>
        </w:rPr>
        <w:t>不同投标人的投标报价或者报价组成异常一致或者呈规律性变化的；</w:t>
      </w:r>
    </w:p>
    <w:p>
      <w:pPr>
        <w:tabs>
          <w:tab w:val="clear" w:pos="426"/>
        </w:tabs>
        <w:rPr>
          <w:kern w:val="10"/>
        </w:rPr>
      </w:pPr>
      <w:r>
        <w:rPr>
          <w:rFonts w:hint="eastAsia"/>
          <w:kern w:val="10"/>
        </w:rPr>
        <w:t xml:space="preserve">36.5.1.4  </w:t>
      </w:r>
      <w:r>
        <w:rPr>
          <w:kern w:val="10"/>
        </w:rPr>
        <w:t>不同投标人的投标文件由同一单位或者同一个人编制的；</w:t>
      </w:r>
    </w:p>
    <w:p>
      <w:pPr>
        <w:tabs>
          <w:tab w:val="clear" w:pos="426"/>
        </w:tabs>
        <w:rPr>
          <w:kern w:val="10"/>
        </w:rPr>
      </w:pPr>
      <w:r>
        <w:rPr>
          <w:rFonts w:hint="eastAsia"/>
          <w:kern w:val="10"/>
        </w:rPr>
        <w:t xml:space="preserve">36.5.1.5  </w:t>
      </w:r>
      <w:r>
        <w:rPr>
          <w:kern w:val="10"/>
        </w:rPr>
        <w:t>不同投标人的投标文件载明的</w:t>
      </w:r>
      <w:r>
        <w:rPr>
          <w:rFonts w:hint="eastAsia"/>
          <w:kern w:val="10"/>
        </w:rPr>
        <w:t>项目负责人与主要技术人员</w:t>
      </w:r>
      <w:r>
        <w:rPr>
          <w:kern w:val="10"/>
        </w:rPr>
        <w:t>出现同一人的；</w:t>
      </w:r>
    </w:p>
    <w:p>
      <w:pPr>
        <w:tabs>
          <w:tab w:val="clear" w:pos="426"/>
        </w:tabs>
        <w:rPr>
          <w:kern w:val="10"/>
        </w:rPr>
      </w:pPr>
      <w:r>
        <w:rPr>
          <w:rFonts w:hint="eastAsia"/>
          <w:kern w:val="10"/>
        </w:rPr>
        <w:t xml:space="preserve">36.5.1.6  </w:t>
      </w:r>
      <w:r>
        <w:rPr>
          <w:kern w:val="10"/>
        </w:rPr>
        <w:t>不同投标人的投标文件相互混装的；</w:t>
      </w:r>
    </w:p>
    <w:p>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pPr>
        <w:tabs>
          <w:tab w:val="clear" w:pos="426"/>
        </w:tabs>
        <w:rPr>
          <w:kern w:val="10"/>
        </w:rPr>
      </w:pPr>
      <w:r>
        <w:rPr>
          <w:rFonts w:hint="eastAsia"/>
          <w:kern w:val="10"/>
        </w:rPr>
        <w:t>36.5.1.8  不同投标人聘请同一人为其投标提供技术或者经济咨询服务的，但招标工程本身要求采用专有技术的除外；</w:t>
      </w:r>
    </w:p>
    <w:p>
      <w:pPr>
        <w:tabs>
          <w:tab w:val="clear" w:pos="426"/>
        </w:tabs>
        <w:rPr>
          <w:kern w:val="10"/>
        </w:rPr>
      </w:pPr>
      <w:r>
        <w:rPr>
          <w:rFonts w:hint="eastAsia"/>
          <w:kern w:val="10"/>
        </w:rPr>
        <w:t xml:space="preserve">36.5.1.9  </w:t>
      </w:r>
      <w:r>
        <w:rPr>
          <w:kern w:val="10"/>
        </w:rPr>
        <w:t>评标委员会认定的其他串通投标情形。</w:t>
      </w:r>
    </w:p>
    <w:p>
      <w:pPr>
        <w:tabs>
          <w:tab w:val="clear" w:pos="426"/>
        </w:tabs>
      </w:pPr>
      <w:r>
        <w:rPr>
          <w:rFonts w:hint="eastAsia"/>
          <w:kern w:val="10"/>
        </w:rPr>
        <w:t xml:space="preserve">36.5.2 </w:t>
      </w:r>
      <w:r>
        <w:rPr>
          <w:rFonts w:hint="eastAsia"/>
        </w:rPr>
        <w:t xml:space="preserve"> 投标文件不满足招标文件规定的任何一项实质性要求的；</w:t>
      </w:r>
    </w:p>
    <w:p>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pPr>
        <w:tabs>
          <w:tab w:val="clear" w:pos="426"/>
        </w:tabs>
      </w:pPr>
      <w:r>
        <w:rPr>
          <w:rFonts w:hint="eastAsia"/>
        </w:rPr>
        <w:t>37.实地考察、演示或设备测试</w:t>
      </w:r>
    </w:p>
    <w:p>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pPr>
        <w:tabs>
          <w:tab w:val="clear" w:pos="426"/>
        </w:tabs>
      </w:pPr>
      <w:r>
        <w:rPr>
          <w:rFonts w:hint="eastAsia"/>
        </w:rPr>
        <w:t>37.2若招标文件要求进行现场演示或设备测试的，投标人应做好相应准备。</w:t>
      </w:r>
    </w:p>
    <w:p>
      <w:pPr>
        <w:tabs>
          <w:tab w:val="clear" w:pos="426"/>
        </w:tabs>
      </w:pPr>
      <w:bookmarkStart w:id="327" w:name="_Toc100052402"/>
      <w:r>
        <w:rPr>
          <w:rFonts w:hint="eastAsia"/>
        </w:rPr>
        <w:t>38．评标方法</w:t>
      </w:r>
      <w:bookmarkEnd w:id="327"/>
    </w:p>
    <w:p>
      <w:pPr>
        <w:tabs>
          <w:tab w:val="clear" w:pos="426"/>
        </w:tabs>
        <w:rPr>
          <w:szCs w:val="21"/>
        </w:rPr>
      </w:pPr>
      <w:r>
        <w:rPr>
          <w:rFonts w:hint="eastAsia"/>
          <w:szCs w:val="21"/>
        </w:rPr>
        <w:t>38.1</w:t>
      </w:r>
      <w:r>
        <w:rPr>
          <w:rFonts w:hint="eastAsia"/>
        </w:rPr>
        <w:t>根据《转发财政部关于加强政府采购货物和服务项目价格评审管理的通知》（深财购[2007]9号）和《关于印发&lt;深圳市政府采购评标委员会和评标方法暂行规定&gt;的通知》(深财购[2005]5号)《</w:t>
      </w:r>
      <w:r>
        <w:t>深圳市政府采购评标定标分离管理暂行办法</w:t>
      </w:r>
      <w:r>
        <w:rPr>
          <w:rFonts w:hint="eastAsia"/>
        </w:rPr>
        <w:t>》的有关要求，</w:t>
      </w:r>
      <w:r>
        <w:rPr>
          <w:rFonts w:hint="eastAsia"/>
          <w:szCs w:val="21"/>
        </w:rPr>
        <w:t>项目评标方法根据是否是评定分离项目进行选择。</w:t>
      </w:r>
    </w:p>
    <w:p>
      <w:pPr>
        <w:tabs>
          <w:tab w:val="clear" w:pos="426"/>
        </w:tabs>
      </w:pPr>
      <w:r>
        <w:rPr>
          <w:rFonts w:hint="eastAsia"/>
        </w:rPr>
        <w:t>38.2非评定分离项目</w:t>
      </w:r>
    </w:p>
    <w:p>
      <w:pPr>
        <w:tabs>
          <w:tab w:val="clear" w:pos="426"/>
        </w:tabs>
      </w:pPr>
      <w:r>
        <w:rPr>
          <w:rFonts w:hint="eastAsia"/>
        </w:rPr>
        <w:t>非评定分离项目评分方法为最低评标价法、综合评标法、性价比法及法律、法规允许的其它评标办法。</w:t>
      </w:r>
    </w:p>
    <w:p>
      <w:pPr>
        <w:tabs>
          <w:tab w:val="clear" w:pos="426"/>
        </w:tabs>
        <w:rPr>
          <w:b/>
        </w:rPr>
      </w:pPr>
      <w:r>
        <w:rPr>
          <w:rFonts w:hint="eastAsia"/>
        </w:rPr>
        <w:t>38.2.1</w:t>
      </w:r>
      <w:bookmarkStart w:id="328" w:name="评标方法2"/>
      <w:r>
        <w:rPr>
          <w:rFonts w:hint="eastAsia"/>
        </w:rPr>
        <w:t>最低评标价法</w:t>
      </w:r>
    </w:p>
    <w:p>
      <w:pPr>
        <w:tabs>
          <w:tab w:val="clear" w:pos="426"/>
        </w:tabs>
      </w:pPr>
      <w:r>
        <w:rPr>
          <w:rFonts w:hint="eastAsia"/>
        </w:rPr>
        <w:t>最低价法是指以价格因素确定中标候选供应商的评标方法，即在满足招标文件实质性要求前提下，以报价最低的投标人作为中标候选供应商或中标人的评标方法；</w:t>
      </w:r>
    </w:p>
    <w:p>
      <w:pPr>
        <w:tabs>
          <w:tab w:val="clear" w:pos="426"/>
        </w:tabs>
        <w:rPr>
          <w:b/>
        </w:rPr>
      </w:pPr>
      <w:r>
        <w:rPr>
          <w:rFonts w:hint="eastAsia"/>
        </w:rPr>
        <w:t>38.2.2综合评分法</w:t>
      </w:r>
      <w:bookmarkEnd w:id="328"/>
    </w:p>
    <w:p>
      <w:pPr>
        <w:tabs>
          <w:tab w:val="clear" w:pos="426"/>
        </w:tabs>
      </w:pPr>
      <w:bookmarkStart w:id="329" w:name="评标方法3"/>
      <w:r>
        <w:rPr>
          <w:rFonts w:hint="eastAsia"/>
        </w:rPr>
        <w:t>是指投标文件满足招标文件全部实质性要求，且按照评审因素的量化指标评审得分最高的投标人为中标候选人的评标方法。</w:t>
      </w:r>
    </w:p>
    <w:p>
      <w:pPr>
        <w:tabs>
          <w:tab w:val="clear" w:pos="426"/>
        </w:tabs>
        <w:rPr>
          <w:b/>
          <w:bCs/>
        </w:rPr>
      </w:pPr>
      <w:r>
        <w:rPr>
          <w:rFonts w:hint="eastAsia"/>
        </w:rPr>
        <w:t>38.2.3</w:t>
      </w:r>
      <w:r>
        <w:rPr>
          <w:rFonts w:hint="eastAsia"/>
          <w:bCs/>
        </w:rPr>
        <w:t>性价比法</w:t>
      </w:r>
    </w:p>
    <w:p>
      <w:pPr>
        <w:tabs>
          <w:tab w:val="clear" w:pos="426"/>
        </w:tabs>
      </w:pPr>
      <w:r>
        <w:rPr>
          <w:rFonts w:hint="eastAsia"/>
        </w:rPr>
        <w:t>性价比法是指除价格因素外，经对投标文件进行评审，计算出评分因素的总分，除以投标报价，以商数最高的投标人作为中标候选供应商或中标人的评标方法。</w:t>
      </w:r>
    </w:p>
    <w:p>
      <w:pPr>
        <w:tabs>
          <w:tab w:val="clear" w:pos="426"/>
        </w:tabs>
      </w:pPr>
      <w:r>
        <w:rPr>
          <w:rFonts w:hint="eastAsia"/>
        </w:rPr>
        <w:t>38.3评定分离项目</w:t>
      </w:r>
    </w:p>
    <w:p>
      <w:pPr>
        <w:tabs>
          <w:tab w:val="clear" w:pos="426"/>
        </w:tabs>
      </w:pPr>
      <w:r>
        <w:rPr>
          <w:rFonts w:hint="eastAsia"/>
        </w:rPr>
        <w:t>评定分离项目，评审委员会应当按照综合评分法、定性评审法、最低价法或者法律、法规及规章规定的其他评审方法对投标文件进行评审。</w:t>
      </w:r>
    </w:p>
    <w:p>
      <w:pPr>
        <w:tabs>
          <w:tab w:val="clear" w:pos="426"/>
        </w:tabs>
        <w:rPr>
          <w:b/>
        </w:rPr>
      </w:pPr>
      <w:r>
        <w:rPr>
          <w:rFonts w:hint="eastAsia"/>
        </w:rPr>
        <w:t>38.3.1综合评分法</w:t>
      </w:r>
    </w:p>
    <w:p>
      <w:pPr>
        <w:tabs>
          <w:tab w:val="clear" w:pos="426"/>
        </w:tabs>
      </w:pPr>
      <w:r>
        <w:rPr>
          <w:rFonts w:hint="eastAsia"/>
        </w:rPr>
        <w:t>是指投标文件满足招标文件全部实质性要求，且按照评审因素的量化指标评审得分最高的投标人为中标候选人的评标方法。</w:t>
      </w:r>
    </w:p>
    <w:p>
      <w:pPr>
        <w:tabs>
          <w:tab w:val="clear" w:pos="426"/>
        </w:tabs>
        <w:rPr>
          <w:color w:val="1D1D1D"/>
          <w:sz w:val="18"/>
          <w:szCs w:val="18"/>
          <w:shd w:val="clear" w:color="auto" w:fill="FFFFFF"/>
        </w:rPr>
      </w:pPr>
      <w:r>
        <w:rPr>
          <w:rFonts w:hint="eastAsia"/>
        </w:rPr>
        <w:t>38.3.2</w:t>
      </w:r>
      <w:r>
        <w:rPr>
          <w:rFonts w:hint="eastAsia"/>
          <w:bCs/>
        </w:rPr>
        <w:t>定性评审法</w:t>
      </w:r>
    </w:p>
    <w:p>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pPr>
        <w:tabs>
          <w:tab w:val="clear" w:pos="426"/>
        </w:tabs>
      </w:pPr>
      <w:r>
        <w:rPr>
          <w:rFonts w:hint="eastAsia"/>
        </w:rPr>
        <w:t>38.3.3最低价法</w:t>
      </w:r>
    </w:p>
    <w:p>
      <w:pPr>
        <w:tabs>
          <w:tab w:val="clear" w:pos="426"/>
        </w:tabs>
      </w:pPr>
      <w:r>
        <w:rPr>
          <w:rFonts w:hint="eastAsia"/>
        </w:rPr>
        <w:t>最低价法是指以价格为主要因素确定候选中标人的评审方法。</w:t>
      </w:r>
    </w:p>
    <w:p>
      <w:pPr>
        <w:tabs>
          <w:tab w:val="clear" w:pos="426"/>
        </w:tabs>
      </w:pPr>
      <w:r>
        <w:rPr>
          <w:rFonts w:hint="eastAsia"/>
        </w:rPr>
        <w:t>38.4本项目采用的评标方法</w:t>
      </w:r>
      <w:bookmarkEnd w:id="329"/>
      <w:r>
        <w:rPr>
          <w:rFonts w:hint="eastAsia"/>
        </w:rPr>
        <w:t>见本项目招标文件专用条款的相关内容。</w:t>
      </w:r>
    </w:p>
    <w:p>
      <w:pPr>
        <w:pStyle w:val="6"/>
        <w:tabs>
          <w:tab w:val="clear" w:pos="426"/>
        </w:tabs>
      </w:pPr>
      <w:bookmarkStart w:id="330" w:name="_Toc398220535"/>
      <w:bookmarkStart w:id="331" w:name="_Toc3628670"/>
      <w:bookmarkStart w:id="332" w:name="_Toc432592827"/>
      <w:r>
        <w:rPr>
          <w:rFonts w:hint="eastAsia"/>
        </w:rPr>
        <w:t>第七章 定标及公示</w:t>
      </w:r>
      <w:bookmarkEnd w:id="330"/>
      <w:bookmarkEnd w:id="331"/>
      <w:bookmarkEnd w:id="332"/>
    </w:p>
    <w:p>
      <w:pPr>
        <w:tabs>
          <w:tab w:val="clear" w:pos="426"/>
        </w:tabs>
      </w:pPr>
      <w:r>
        <w:rPr>
          <w:rFonts w:hint="eastAsia"/>
        </w:rPr>
        <w:t>39．定标方法</w:t>
      </w:r>
    </w:p>
    <w:p>
      <w:pPr>
        <w:tabs>
          <w:tab w:val="clear" w:pos="426"/>
        </w:tabs>
      </w:pPr>
      <w:r>
        <w:rPr>
          <w:rFonts w:hint="eastAsia"/>
        </w:rPr>
        <w:t>39</w:t>
      </w:r>
      <w:r>
        <w:t>.</w:t>
      </w:r>
      <w:r>
        <w:rPr>
          <w:rFonts w:hint="eastAsia"/>
        </w:rPr>
        <w:t>1项目定标方法根据是否是评定分离项目进行选择。</w:t>
      </w:r>
    </w:p>
    <w:p>
      <w:pPr>
        <w:tabs>
          <w:tab w:val="clear" w:pos="426"/>
        </w:tabs>
      </w:pPr>
      <w:r>
        <w:rPr>
          <w:rFonts w:hint="eastAsia"/>
        </w:rPr>
        <w:t>39</w:t>
      </w:r>
      <w:r>
        <w:t>.</w:t>
      </w:r>
      <w:r>
        <w:rPr>
          <w:rFonts w:hint="eastAsia"/>
        </w:rPr>
        <w:t>2非评定分离项目</w:t>
      </w:r>
    </w:p>
    <w:p>
      <w:pPr>
        <w:tabs>
          <w:tab w:val="clear" w:pos="426"/>
        </w:tabs>
      </w:pPr>
      <w:r>
        <w:rPr>
          <w:rFonts w:hint="eastAsia"/>
        </w:rPr>
        <w:t>评标委员会依据本项目招标文件所约定的评标方法进行评审和比较，向采购代理机构提交书面评标报告，并根据评标方法比较评价结果从优到劣进行排序，并推荐中标候选人或确定中标人；</w:t>
      </w:r>
    </w:p>
    <w:p>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pPr>
        <w:tabs>
          <w:tab w:val="clear" w:pos="426"/>
        </w:tabs>
      </w:pPr>
      <w:r>
        <w:rPr>
          <w:rFonts w:hint="eastAsia"/>
          <w:highlight w:val="yellow"/>
        </w:rPr>
        <w:t>39</w:t>
      </w:r>
      <w:r>
        <w:rPr>
          <w:highlight w:val="yellow"/>
        </w:rPr>
        <w:t>.</w:t>
      </w:r>
      <w:r>
        <w:rPr>
          <w:rFonts w:hint="eastAsia"/>
          <w:highlight w:val="yellow"/>
        </w:rPr>
        <w:t>2.2</w:t>
      </w:r>
      <w:r>
        <w:rPr>
          <w:highlight w:val="yellow"/>
        </w:rPr>
        <w:t>采用综合评</w:t>
      </w:r>
      <w:r>
        <w:rPr>
          <w:rFonts w:hint="eastAsia"/>
          <w:highlight w:val="yellow"/>
        </w:rPr>
        <w:t>分</w:t>
      </w:r>
      <w:r>
        <w:rPr>
          <w:highlight w:val="yellow"/>
        </w:rPr>
        <w:t>法的，按评审后得分由高到低顺序排列。得分相同的，按投标报价由低到高顺序排列。得分且投标报价相同的，按技术指标优劣顺序排列。</w:t>
      </w:r>
      <w:r>
        <w:rPr>
          <w:rFonts w:hint="eastAsia"/>
          <w:b/>
          <w:szCs w:val="21"/>
          <w:highlight w:val="yellow"/>
        </w:rPr>
        <w:t>得分且投标报价相同的且技术指标或服务方案优劣相同的，</w:t>
      </w:r>
      <w:r>
        <w:rPr>
          <w:rFonts w:cs="Times New Roman"/>
          <w:b/>
          <w:bCs/>
          <w:kern w:val="2"/>
          <w:szCs w:val="21"/>
          <w:highlight w:val="yellow"/>
        </w:rPr>
        <w:t>采取随机抽取方式确定中标人推荐资格</w:t>
      </w:r>
      <w:r>
        <w:rPr>
          <w:rFonts w:hint="eastAsia" w:cs="Times New Roman"/>
          <w:b/>
          <w:bCs/>
          <w:kern w:val="2"/>
          <w:szCs w:val="21"/>
          <w:highlight w:val="yellow"/>
        </w:rPr>
        <w:t>。</w:t>
      </w:r>
      <w:r>
        <w:rPr>
          <w:rFonts w:hint="eastAsia"/>
          <w:highlight w:val="yellow"/>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pPr>
        <w:tabs>
          <w:tab w:val="clear" w:pos="426"/>
        </w:tabs>
      </w:pPr>
      <w:r>
        <w:rPr>
          <w:rFonts w:hint="eastAsia"/>
        </w:rPr>
        <w:t>39</w:t>
      </w:r>
      <w:r>
        <w:t>.</w:t>
      </w:r>
      <w:r>
        <w:rPr>
          <w:rFonts w:hint="eastAsia"/>
        </w:rPr>
        <w:t>3评定分离项目</w:t>
      </w:r>
    </w:p>
    <w:p>
      <w:pPr>
        <w:tabs>
          <w:tab w:val="clear" w:pos="426"/>
        </w:tabs>
      </w:pPr>
      <w:r>
        <w:rPr>
          <w:rFonts w:hint="eastAsia"/>
        </w:rPr>
        <w:t>适用评定分离的政府采购项目，采购人应当根据不同的项目选用自定法、抽签法、竞价法或者法律、法规及规章规定的其他定标方法确定中标人。</w:t>
      </w:r>
    </w:p>
    <w:p>
      <w:pPr>
        <w:tabs>
          <w:tab w:val="clear" w:pos="426"/>
        </w:tabs>
      </w:pPr>
      <w:r>
        <w:rPr>
          <w:rFonts w:hint="eastAsia"/>
        </w:rPr>
        <w:t>39</w:t>
      </w:r>
      <w:r>
        <w:t>.</w:t>
      </w:r>
      <w:r>
        <w:rPr>
          <w:rFonts w:hint="eastAsia"/>
        </w:rPr>
        <w:t>3.1自定法是指采购人组织定标委员会，由定标委员会在候选中标人中确定中标人。</w:t>
      </w:r>
    </w:p>
    <w:p>
      <w:pPr>
        <w:tabs>
          <w:tab w:val="clear" w:pos="426"/>
        </w:tabs>
      </w:pPr>
      <w:r>
        <w:rPr>
          <w:rFonts w:hint="eastAsia"/>
        </w:rPr>
        <w:t>39</w:t>
      </w:r>
      <w:r>
        <w:t>.</w:t>
      </w:r>
      <w:r>
        <w:rPr>
          <w:rFonts w:hint="eastAsia"/>
        </w:rPr>
        <w:t>3.2 抽签法是指候选中标人产生后，由采购人委托招标机构按照随机抽签的方式在候选中标人中确定中标人。 </w:t>
      </w:r>
    </w:p>
    <w:p>
      <w:pPr>
        <w:tabs>
          <w:tab w:val="clear" w:pos="426"/>
        </w:tabs>
      </w:pPr>
      <w:r>
        <w:rPr>
          <w:rFonts w:hint="eastAsia"/>
        </w:rPr>
        <w:t>39</w:t>
      </w:r>
      <w:r>
        <w:t>.</w:t>
      </w:r>
      <w:r>
        <w:rPr>
          <w:rFonts w:hint="eastAsia"/>
        </w:rPr>
        <w:t>3.3竞价法是指候选中标人产生后，由采购人委托招标机构组织候选中标人进行二次竞价，最终报价最低的为中标人</w:t>
      </w:r>
    </w:p>
    <w:p>
      <w:pPr>
        <w:tabs>
          <w:tab w:val="clear" w:pos="426"/>
        </w:tabs>
        <w:rPr>
          <w:color w:val="FF0000"/>
        </w:rPr>
      </w:pPr>
      <w:r>
        <w:rPr>
          <w:rFonts w:hint="eastAsia"/>
        </w:rPr>
        <w:t>39.4本项目采用的定标方法见本项目招标文件专用条款的相关内容。</w:t>
      </w:r>
    </w:p>
    <w:p>
      <w:pPr>
        <w:tabs>
          <w:tab w:val="clear" w:pos="426"/>
        </w:tabs>
      </w:pPr>
      <w:bookmarkStart w:id="333" w:name="_Toc100052404"/>
      <w:r>
        <w:rPr>
          <w:rFonts w:hint="eastAsia"/>
        </w:rPr>
        <w:t>40．编写评标报告</w:t>
      </w:r>
      <w:bookmarkEnd w:id="333"/>
    </w:p>
    <w:p>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tabs>
          <w:tab w:val="clear" w:pos="426"/>
        </w:tabs>
      </w:pPr>
      <w:bookmarkStart w:id="334" w:name="_Toc100052405"/>
      <w:bookmarkStart w:id="335" w:name="_Toc73521588"/>
      <w:bookmarkStart w:id="336" w:name="_Toc73517681"/>
      <w:bookmarkStart w:id="337" w:name="_Toc73521676"/>
      <w:bookmarkStart w:id="338" w:name="_Toc73518159"/>
      <w:r>
        <w:rPr>
          <w:rFonts w:hint="eastAsia"/>
        </w:rPr>
        <w:t>41．中标公告</w:t>
      </w:r>
      <w:bookmarkEnd w:id="334"/>
    </w:p>
    <w:p>
      <w:pPr>
        <w:tabs>
          <w:tab w:val="clear" w:pos="426"/>
        </w:tabs>
      </w:pPr>
      <w:r>
        <w:rPr>
          <w:rFonts w:hint="eastAsia"/>
        </w:rPr>
        <w:t>41.1为体现“公开、公平、公正”的原则，评标结束后，采购代理机构将在“深圳政府采购网”（</w:t>
      </w:r>
      <w:r>
        <w:fldChar w:fldCharType="begin"/>
      </w:r>
      <w:r>
        <w:instrText xml:space="preserve"> HYPERLINK "http://www.szfb.gov.cn:8080/" </w:instrText>
      </w:r>
      <w:r>
        <w:fldChar w:fldCharType="separate"/>
      </w:r>
      <w:r>
        <w:rPr>
          <w:color w:val="0000FF"/>
          <w:u w:val="single"/>
        </w:rPr>
        <w:t>http://www.szzfcg.cn/</w:t>
      </w:r>
      <w:r>
        <w:rPr>
          <w:color w:val="0000FF"/>
          <w:u w:val="single"/>
        </w:rPr>
        <w:fldChar w:fldCharType="end"/>
      </w:r>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pPr>
        <w:tabs>
          <w:tab w:val="clear" w:pos="426"/>
        </w:tabs>
      </w:pPr>
      <w:r>
        <w:rPr>
          <w:rFonts w:hint="eastAsia"/>
        </w:rPr>
        <w:t>41.2质疑投诉人应保证质疑投诉内容的真实性和可靠性，并承担相应的法律责任。</w:t>
      </w:r>
    </w:p>
    <w:p>
      <w:pPr>
        <w:tabs>
          <w:tab w:val="clear" w:pos="426"/>
        </w:tabs>
      </w:pPr>
      <w:bookmarkStart w:id="339" w:name="_Toc100052406"/>
      <w:r>
        <w:rPr>
          <w:rFonts w:hint="eastAsia"/>
        </w:rPr>
        <w:t>42．中标通知书</w:t>
      </w:r>
      <w:bookmarkEnd w:id="339"/>
    </w:p>
    <w:bookmarkEnd w:id="335"/>
    <w:bookmarkEnd w:id="336"/>
    <w:bookmarkEnd w:id="337"/>
    <w:bookmarkEnd w:id="338"/>
    <w:p>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pPr>
        <w:tabs>
          <w:tab w:val="clear" w:pos="426"/>
        </w:tabs>
      </w:pPr>
      <w:r>
        <w:rPr>
          <w:rFonts w:hint="eastAsia"/>
        </w:rPr>
        <w:t>42</w:t>
      </w:r>
      <w:r>
        <w:t>.2</w:t>
      </w:r>
      <w:r>
        <w:rPr>
          <w:rFonts w:hint="eastAsia"/>
        </w:rPr>
        <w:t>中标通知书是合同的重要组成部分。</w:t>
      </w:r>
    </w:p>
    <w:p>
      <w:pPr>
        <w:tabs>
          <w:tab w:val="clear" w:pos="426"/>
        </w:tabs>
      </w:pPr>
      <w:r>
        <w:rPr>
          <w:rFonts w:hint="eastAsia"/>
        </w:rPr>
        <w:t>42.3因质疑投诉或其它原因导致项目结果变更或采购终止的，我公司有权收回中标通知书或终止采购合同。</w:t>
      </w:r>
    </w:p>
    <w:p>
      <w:pPr>
        <w:pStyle w:val="6"/>
        <w:tabs>
          <w:tab w:val="clear" w:pos="426"/>
        </w:tabs>
      </w:pPr>
      <w:bookmarkStart w:id="340" w:name="bt合同的授予"/>
      <w:bookmarkEnd w:id="340"/>
      <w:bookmarkStart w:id="341" w:name="_Toc432592828"/>
      <w:bookmarkStart w:id="342" w:name="_Toc3628671"/>
      <w:bookmarkStart w:id="343" w:name="_Toc398220536"/>
      <w:bookmarkStart w:id="344" w:name="_Toc73518156"/>
      <w:bookmarkStart w:id="345" w:name="_Toc101074884"/>
      <w:bookmarkStart w:id="346" w:name="_Toc73517678"/>
      <w:bookmarkStart w:id="347" w:name="_Toc100052407"/>
      <w:r>
        <w:rPr>
          <w:rFonts w:hint="eastAsia"/>
        </w:rPr>
        <w:t>第八章 公开招标失败的后续处理</w:t>
      </w:r>
      <w:bookmarkEnd w:id="341"/>
      <w:bookmarkEnd w:id="342"/>
      <w:bookmarkEnd w:id="343"/>
    </w:p>
    <w:p>
      <w:pPr>
        <w:tabs>
          <w:tab w:val="clear" w:pos="426"/>
        </w:tabs>
      </w:pPr>
      <w:r>
        <w:rPr>
          <w:rFonts w:hint="eastAsia"/>
        </w:rPr>
        <w:t>43．公开招标失败的处理</w:t>
      </w:r>
    </w:p>
    <w:p>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pPr>
        <w:tabs>
          <w:tab w:val="clear" w:pos="426"/>
        </w:tabs>
      </w:pPr>
      <w:r>
        <w:rPr>
          <w:rFonts w:hint="eastAsia"/>
        </w:rPr>
        <w:t>43.3重新组织采购有以下两种组织形式：</w:t>
      </w:r>
    </w:p>
    <w:p>
      <w:pPr>
        <w:tabs>
          <w:tab w:val="clear" w:pos="426"/>
        </w:tabs>
      </w:pPr>
      <w:r>
        <w:rPr>
          <w:rFonts w:hint="eastAsia"/>
        </w:rPr>
        <w:t>（1）由采购代理机构重新组织公开招标；</w:t>
      </w:r>
    </w:p>
    <w:p>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pPr>
        <w:tabs>
          <w:tab w:val="clear" w:pos="426"/>
        </w:tabs>
      </w:pPr>
      <w:r>
        <w:rPr>
          <w:rFonts w:hint="eastAsia"/>
        </w:rPr>
        <w:t>43.4公开招标失败的采购项目重新组织公开招标，采购代理机构要重新按公开招标流程发布采购公告和招标文件、组成评标委员会等组织采购活动。</w:t>
      </w:r>
    </w:p>
    <w:p>
      <w:pPr>
        <w:tabs>
          <w:tab w:val="clear" w:pos="426"/>
        </w:tabs>
      </w:pPr>
      <w:r>
        <w:rPr>
          <w:rFonts w:hint="eastAsia"/>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pPr>
        <w:tabs>
          <w:tab w:val="clear" w:pos="426"/>
        </w:tabs>
      </w:pPr>
      <w:r>
        <w:rPr>
          <w:rFonts w:hint="eastAsia"/>
        </w:rPr>
        <w:t>44．公开招标失败项目转为竞争性谈判方式采购的</w:t>
      </w:r>
    </w:p>
    <w:p>
      <w:pPr>
        <w:tabs>
          <w:tab w:val="clear" w:pos="426"/>
        </w:tabs>
      </w:pPr>
      <w:r>
        <w:rPr>
          <w:rFonts w:hint="eastAsia"/>
        </w:rPr>
        <w:t>44.1谈判文件</w:t>
      </w:r>
    </w:p>
    <w:p>
      <w:pPr>
        <w:tabs>
          <w:tab w:val="clear" w:pos="426"/>
        </w:tabs>
      </w:pPr>
      <w:r>
        <w:rPr>
          <w:rFonts w:hint="eastAsia"/>
        </w:rPr>
        <w:t>44.1.1公开招标失败项目转为竞争性谈判方式采购的，原招标文件转为谈判文件。</w:t>
      </w:r>
    </w:p>
    <w:p>
      <w:pPr>
        <w:tabs>
          <w:tab w:val="clear" w:pos="426"/>
        </w:tabs>
      </w:pPr>
      <w:r>
        <w:rPr>
          <w:rFonts w:hint="eastAsia"/>
        </w:rPr>
        <w:t>44.2谈判小组</w:t>
      </w:r>
    </w:p>
    <w:p>
      <w:pPr>
        <w:tabs>
          <w:tab w:val="clear" w:pos="426"/>
        </w:tabs>
      </w:pPr>
      <w:r>
        <w:rPr>
          <w:rFonts w:hint="eastAsia"/>
        </w:rPr>
        <w:t>44.2.1公开招标失败项目转为竞争性谈判方式采购后，评标委员会转为谈判小组；专家可重新抽取也可继续采用评标委员会内专家。</w:t>
      </w:r>
    </w:p>
    <w:p>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w:t>
      </w:r>
      <w:r>
        <w:rPr>
          <w:rFonts w:hint="eastAsia"/>
          <w:b/>
          <w:bCs/>
        </w:rPr>
        <w:t>”</w:t>
      </w:r>
      <w:r>
        <w:rPr>
          <w:rFonts w:hint="eastAsia"/>
          <w:b/>
        </w:rPr>
        <w:t>部分以及谈判邀请中相应的变动部分。</w:t>
      </w:r>
    </w:p>
    <w:p>
      <w:pPr>
        <w:tabs>
          <w:tab w:val="clear" w:pos="426"/>
        </w:tabs>
      </w:pPr>
      <w:r>
        <w:rPr>
          <w:rFonts w:hint="eastAsia"/>
        </w:rPr>
        <w:t>44.3谈判程序</w:t>
      </w:r>
    </w:p>
    <w:p>
      <w:pPr>
        <w:tabs>
          <w:tab w:val="clear" w:pos="426"/>
        </w:tabs>
      </w:pPr>
      <w:r>
        <w:rPr>
          <w:rFonts w:hint="eastAsia"/>
        </w:rPr>
        <w:t>44.3.1参加谈判的供应商和谈判小组成员填写谈判登记表，并交验证明文件（法定代表人证明书、法人授权委托书、被授权的谈判代表身份证原件）。</w:t>
      </w:r>
    </w:p>
    <w:p>
      <w:pPr>
        <w:tabs>
          <w:tab w:val="clear" w:pos="426"/>
        </w:tabs>
      </w:pPr>
      <w:r>
        <w:rPr>
          <w:rFonts w:hint="eastAsia"/>
        </w:rPr>
        <w:t>44.3</w:t>
      </w:r>
      <w:r>
        <w:t>.2</w:t>
      </w:r>
      <w:r>
        <w:rPr>
          <w:rFonts w:hint="eastAsia"/>
        </w:rPr>
        <w:t>谈判小组主持人宣布谈判规则和谈判纪律。</w:t>
      </w:r>
    </w:p>
    <w:p>
      <w:pPr>
        <w:tabs>
          <w:tab w:val="clear" w:pos="426"/>
        </w:tabs>
      </w:pPr>
      <w:r>
        <w:rPr>
          <w:rFonts w:hint="eastAsia"/>
        </w:rPr>
        <w:t>44.3</w:t>
      </w:r>
      <w:r>
        <w:t>.3</w:t>
      </w:r>
      <w:r>
        <w:rPr>
          <w:rFonts w:hint="eastAsia"/>
        </w:rPr>
        <w:t>在谈判中，谈判小组将就以下谈判内容跟供应商进行谈判：</w:t>
      </w:r>
    </w:p>
    <w:p>
      <w:pPr>
        <w:tabs>
          <w:tab w:val="clear" w:pos="426"/>
        </w:tabs>
      </w:pPr>
      <w:r>
        <w:rPr>
          <w:rFonts w:hint="eastAsia"/>
        </w:rPr>
        <w:t>（</w:t>
      </w:r>
      <w:r>
        <w:t>1</w:t>
      </w:r>
      <w:r>
        <w:rPr>
          <w:rFonts w:hint="eastAsia"/>
        </w:rPr>
        <w:t>）项目方案；</w:t>
      </w:r>
    </w:p>
    <w:p>
      <w:pPr>
        <w:tabs>
          <w:tab w:val="clear" w:pos="426"/>
        </w:tabs>
      </w:pPr>
      <w:r>
        <w:rPr>
          <w:rFonts w:hint="eastAsia"/>
        </w:rPr>
        <w:t>（2）报价；</w:t>
      </w:r>
    </w:p>
    <w:p>
      <w:pPr>
        <w:tabs>
          <w:tab w:val="clear" w:pos="426"/>
        </w:tabs>
      </w:pPr>
      <w:r>
        <w:rPr>
          <w:rFonts w:hint="eastAsia"/>
        </w:rPr>
        <w:t>（3）其它相关事项。</w:t>
      </w:r>
    </w:p>
    <w:p>
      <w:pPr>
        <w:tabs>
          <w:tab w:val="clear" w:pos="426"/>
        </w:tabs>
      </w:pPr>
      <w:r>
        <w:rPr>
          <w:rFonts w:hint="eastAsia"/>
        </w:rPr>
        <w:t>原招标文件或谈判邀请文件有实质性变动的，谈判小组应当通过采购代理机构通知所有参加谈判的供应商。</w:t>
      </w:r>
    </w:p>
    <w:p>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pPr>
        <w:tabs>
          <w:tab w:val="clear" w:pos="426"/>
        </w:tabs>
      </w:pPr>
      <w:r>
        <w:rPr>
          <w:rFonts w:hint="eastAsia"/>
        </w:rPr>
        <w:t>44.3</w:t>
      </w:r>
      <w:r>
        <w:t>.</w:t>
      </w:r>
      <w:r>
        <w:rPr>
          <w:rFonts w:hint="eastAsia"/>
        </w:rPr>
        <w:t>6供应商对谈判应答文件进行修改，都应形成文字材料，并经供应商谈判授权人签字认可。</w:t>
      </w:r>
    </w:p>
    <w:p>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pPr>
        <w:tabs>
          <w:tab w:val="clear" w:pos="426"/>
        </w:tabs>
        <w:rPr>
          <w:szCs w:val="21"/>
        </w:rPr>
      </w:pPr>
      <w:r>
        <w:rPr>
          <w:rFonts w:hint="eastAsia"/>
          <w:szCs w:val="21"/>
        </w:rPr>
        <w:t>44.3.8有下列情形之一的，该供应商的谈判结果</w:t>
      </w:r>
      <w:r>
        <w:rPr>
          <w:rFonts w:hint="eastAsia"/>
          <w:bCs/>
        </w:rPr>
        <w:t>按无效标或废标处理</w:t>
      </w:r>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pPr>
        <w:tabs>
          <w:tab w:val="clear" w:pos="426"/>
        </w:tabs>
      </w:pPr>
      <w:r>
        <w:rPr>
          <w:rFonts w:hint="eastAsia"/>
        </w:rPr>
        <w:t>44.3</w:t>
      </w:r>
      <w:r>
        <w:t>.</w:t>
      </w:r>
      <w:r>
        <w:rPr>
          <w:rFonts w:hint="eastAsia"/>
        </w:rPr>
        <w:t>9谈判结束后，谈判小组根据供应商提供的谈判应答文件、谈判过程中产生的相关资料，对供应商谈判应答文件进行评估与比较，提出书面评审意见。</w:t>
      </w:r>
    </w:p>
    <w:p>
      <w:pPr>
        <w:tabs>
          <w:tab w:val="clear" w:pos="426"/>
        </w:tabs>
      </w:pPr>
      <w:r>
        <w:rPr>
          <w:rFonts w:hint="eastAsia"/>
        </w:rPr>
        <w:t>44.3.10谈判小组将对谈判过程进行记录，以存档备查。</w:t>
      </w:r>
    </w:p>
    <w:p>
      <w:pPr>
        <w:tabs>
          <w:tab w:val="clear" w:pos="426"/>
        </w:tabs>
      </w:pPr>
      <w:r>
        <w:rPr>
          <w:rFonts w:hint="eastAsia"/>
        </w:rPr>
        <w:t>44.4评标方法和定标原则</w:t>
      </w:r>
    </w:p>
    <w:p>
      <w:pPr>
        <w:tabs>
          <w:tab w:val="clear" w:pos="426"/>
        </w:tabs>
      </w:pPr>
      <w:r>
        <w:rPr>
          <w:rFonts w:hint="eastAsia"/>
        </w:rPr>
        <w:t>44.4.1根据《深圳市政府采购评标委员会和评标方法暂行规定》（深财购[2005]5号），竞争性谈判采购项目的评标方法要比照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pPr>
        <w:tabs>
          <w:tab w:val="clear" w:pos="426"/>
        </w:tabs>
      </w:pPr>
      <w:r>
        <w:rPr>
          <w:rFonts w:hint="eastAsia"/>
        </w:rPr>
        <w:t>44.4.4谈判小组向采购代理机构提交书面评标报告，并推荐中标候选人或确定中标人。</w:t>
      </w:r>
    </w:p>
    <w:p>
      <w:pPr>
        <w:tabs>
          <w:tab w:val="clear" w:pos="426"/>
        </w:tabs>
      </w:pPr>
      <w:r>
        <w:rPr>
          <w:rFonts w:hint="eastAsia"/>
        </w:rPr>
        <w:t>45．公开招标失败项目转为单一来源谈判方式采购</w:t>
      </w:r>
    </w:p>
    <w:p>
      <w:pPr>
        <w:tabs>
          <w:tab w:val="clear" w:pos="426"/>
        </w:tabs>
      </w:pPr>
      <w:r>
        <w:rPr>
          <w:rFonts w:hint="eastAsia"/>
        </w:rPr>
        <w:t>45.1谈判文件</w:t>
      </w:r>
    </w:p>
    <w:p>
      <w:pPr>
        <w:tabs>
          <w:tab w:val="clear" w:pos="426"/>
        </w:tabs>
      </w:pPr>
      <w:r>
        <w:rPr>
          <w:rFonts w:hint="eastAsia"/>
        </w:rPr>
        <w:t>45.1.1公开招标失败项目转为单一来源谈判方式采购的，原招标文件转为谈判文件。</w:t>
      </w:r>
    </w:p>
    <w:p>
      <w:pPr>
        <w:tabs>
          <w:tab w:val="clear" w:pos="426"/>
        </w:tabs>
      </w:pPr>
      <w:r>
        <w:rPr>
          <w:rFonts w:hint="eastAsia"/>
        </w:rPr>
        <w:t>45.2谈判小组</w:t>
      </w:r>
    </w:p>
    <w:p>
      <w:pPr>
        <w:tabs>
          <w:tab w:val="clear" w:pos="426"/>
        </w:tabs>
      </w:pPr>
      <w:r>
        <w:rPr>
          <w:rFonts w:hint="eastAsia"/>
        </w:rPr>
        <w:t>45.2.1公开招标失败项目转为单一来源谈判方式采购后，评标委员会转为谈判小组，专家可重新抽取也可继续采用评标委员会内专家。</w:t>
      </w:r>
    </w:p>
    <w:p>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pPr>
        <w:tabs>
          <w:tab w:val="clear" w:pos="426"/>
        </w:tabs>
      </w:pPr>
      <w:r>
        <w:rPr>
          <w:rFonts w:hint="eastAsia"/>
        </w:rPr>
        <w:t>45.3谈判程序</w:t>
      </w:r>
    </w:p>
    <w:p>
      <w:pPr>
        <w:tabs>
          <w:tab w:val="clear" w:pos="426"/>
        </w:tabs>
      </w:pPr>
      <w:r>
        <w:rPr>
          <w:rFonts w:hint="eastAsia"/>
        </w:rPr>
        <w:t>45.3.1参加谈判的供应商和谈判小组成员填写谈判登记表，并交验证明文件（法定代表人证明书、法人授权委托书、被授权的谈判代表身份证原件）。</w:t>
      </w:r>
    </w:p>
    <w:p>
      <w:pPr>
        <w:tabs>
          <w:tab w:val="clear" w:pos="426"/>
        </w:tabs>
      </w:pPr>
      <w:r>
        <w:rPr>
          <w:rFonts w:hint="eastAsia"/>
        </w:rPr>
        <w:t>45.3</w:t>
      </w:r>
      <w:r>
        <w:t>.2</w:t>
      </w:r>
      <w:r>
        <w:rPr>
          <w:rFonts w:hint="eastAsia"/>
        </w:rPr>
        <w:t>谈判小组主持人宣布谈判规则和谈判纪律。</w:t>
      </w:r>
    </w:p>
    <w:p>
      <w:pPr>
        <w:tabs>
          <w:tab w:val="clear" w:pos="426"/>
        </w:tabs>
      </w:pPr>
      <w:r>
        <w:rPr>
          <w:rFonts w:hint="eastAsia"/>
        </w:rPr>
        <w:t>45.3</w:t>
      </w:r>
      <w:r>
        <w:t>.3</w:t>
      </w:r>
      <w:r>
        <w:rPr>
          <w:rFonts w:hint="eastAsia"/>
        </w:rPr>
        <w:t>在谈判中，谈判小组将就以下谈判内容跟供应商进行谈判：</w:t>
      </w:r>
    </w:p>
    <w:p>
      <w:pPr>
        <w:tabs>
          <w:tab w:val="clear" w:pos="426"/>
        </w:tabs>
      </w:pPr>
      <w:r>
        <w:rPr>
          <w:rFonts w:hint="eastAsia"/>
        </w:rPr>
        <w:t>（</w:t>
      </w:r>
      <w:r>
        <w:t>1</w:t>
      </w:r>
      <w:r>
        <w:rPr>
          <w:rFonts w:hint="eastAsia"/>
        </w:rPr>
        <w:t>）项目方案；</w:t>
      </w:r>
    </w:p>
    <w:p>
      <w:pPr>
        <w:tabs>
          <w:tab w:val="clear" w:pos="426"/>
        </w:tabs>
      </w:pPr>
      <w:r>
        <w:rPr>
          <w:rFonts w:hint="eastAsia"/>
        </w:rPr>
        <w:t>（2）报价；</w:t>
      </w:r>
    </w:p>
    <w:p>
      <w:pPr>
        <w:tabs>
          <w:tab w:val="clear" w:pos="426"/>
        </w:tabs>
      </w:pPr>
      <w:r>
        <w:rPr>
          <w:rFonts w:hint="eastAsia"/>
        </w:rPr>
        <w:t>（3）其它相关事项。</w:t>
      </w:r>
    </w:p>
    <w:p>
      <w:pPr>
        <w:tabs>
          <w:tab w:val="clear" w:pos="426"/>
        </w:tabs>
      </w:pPr>
      <w:r>
        <w:rPr>
          <w:rFonts w:hint="eastAsia"/>
        </w:rPr>
        <w:t>原招标文件或谈判邀请文件有实质性变动的，谈判小组应当通过采购代理机构通知供应商。</w:t>
      </w:r>
    </w:p>
    <w:p>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pPr>
        <w:tabs>
          <w:tab w:val="clear" w:pos="426"/>
        </w:tabs>
      </w:pPr>
      <w:r>
        <w:rPr>
          <w:rFonts w:hint="eastAsia"/>
        </w:rPr>
        <w:t>45.3</w:t>
      </w:r>
      <w:r>
        <w:t>.</w:t>
      </w:r>
      <w:r>
        <w:rPr>
          <w:rFonts w:hint="eastAsia"/>
        </w:rPr>
        <w:t>6供应商对谈判应答文件进行修改，都应形成文字材料，并经供应商谈判授权人签字认可。</w:t>
      </w:r>
    </w:p>
    <w:p>
      <w:pPr>
        <w:tabs>
          <w:tab w:val="clear" w:pos="426"/>
        </w:tabs>
      </w:pPr>
      <w:r>
        <w:rPr>
          <w:rFonts w:hint="eastAsia"/>
        </w:rPr>
        <w:t>45.3.7谈判小组与单一来源供应商进行谈判。供应商有两次更改机会；供应商应在规定的时间内提出最后更改及书面承诺。</w:t>
      </w:r>
    </w:p>
    <w:p>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pPr>
        <w:tabs>
          <w:tab w:val="clear" w:pos="426"/>
        </w:tabs>
      </w:pPr>
      <w:r>
        <w:rPr>
          <w:rFonts w:hint="eastAsia"/>
        </w:rPr>
        <w:t>45.3</w:t>
      </w:r>
      <w:r>
        <w:t>.</w:t>
      </w:r>
      <w:r>
        <w:rPr>
          <w:rFonts w:hint="eastAsia"/>
        </w:rPr>
        <w:t>9谈判结束后，谈判小组根据供应商提供的谈判应答文件、谈判过程中产生的相关资料，对供应商谈判应答文件进行评估与比较，提出书面评审意见。</w:t>
      </w:r>
    </w:p>
    <w:p>
      <w:pPr>
        <w:tabs>
          <w:tab w:val="clear" w:pos="426"/>
        </w:tabs>
      </w:pPr>
      <w:r>
        <w:rPr>
          <w:rFonts w:hint="eastAsia"/>
        </w:rPr>
        <w:t>45.3.10谈判小组将对谈判过程进行记录，以存档备查。</w:t>
      </w:r>
    </w:p>
    <w:p>
      <w:pPr>
        <w:tabs>
          <w:tab w:val="clear" w:pos="426"/>
        </w:tabs>
      </w:pPr>
      <w:r>
        <w:rPr>
          <w:rFonts w:hint="eastAsia"/>
        </w:rPr>
        <w:t>45.4评标方法和定标原则</w:t>
      </w:r>
    </w:p>
    <w:p>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pPr>
        <w:tabs>
          <w:tab w:val="clear" w:pos="426"/>
        </w:tabs>
        <w:rPr>
          <w:szCs w:val="21"/>
        </w:rPr>
      </w:pPr>
      <w:r>
        <w:rPr>
          <w:rFonts w:hint="eastAsia"/>
        </w:rPr>
        <w:t>45.4.2谈判小组向采购代理机构提交书面评标报告，并推荐中标候选人或确定中标人。</w:t>
      </w:r>
    </w:p>
    <w:bookmarkEnd w:id="344"/>
    <w:bookmarkEnd w:id="345"/>
    <w:bookmarkEnd w:id="346"/>
    <w:bookmarkEnd w:id="347"/>
    <w:p>
      <w:pPr>
        <w:pStyle w:val="6"/>
        <w:tabs>
          <w:tab w:val="clear" w:pos="426"/>
        </w:tabs>
        <w:rPr>
          <w:sz w:val="28"/>
          <w:szCs w:val="28"/>
        </w:rPr>
      </w:pPr>
      <w:bookmarkStart w:id="348" w:name="_Toc432592829"/>
      <w:bookmarkStart w:id="349" w:name="_Toc3628672"/>
      <w:bookmarkStart w:id="350" w:name="_Toc398220537"/>
      <w:r>
        <w:rPr>
          <w:rFonts w:hint="eastAsia"/>
        </w:rPr>
        <w:t>第九章 合同的授予与备案</w:t>
      </w:r>
      <w:bookmarkEnd w:id="348"/>
      <w:bookmarkEnd w:id="349"/>
      <w:bookmarkEnd w:id="350"/>
    </w:p>
    <w:p>
      <w:pPr>
        <w:tabs>
          <w:tab w:val="clear" w:pos="426"/>
        </w:tabs>
      </w:pPr>
      <w:bookmarkStart w:id="351" w:name="_33._合同授予标准"/>
      <w:bookmarkEnd w:id="351"/>
      <w:bookmarkStart w:id="352" w:name="_Toc201401599"/>
      <w:bookmarkStart w:id="353" w:name="_Toc201401407"/>
      <w:bookmarkStart w:id="354" w:name="_Toc201997860"/>
      <w:r>
        <w:rPr>
          <w:rFonts w:hint="eastAsia"/>
        </w:rPr>
        <w:t xml:space="preserve">46．  </w:t>
      </w:r>
      <w:bookmarkEnd w:id="352"/>
      <w:bookmarkEnd w:id="353"/>
      <w:r>
        <w:rPr>
          <w:rFonts w:hint="eastAsia"/>
        </w:rPr>
        <w:t>履约担保</w:t>
      </w:r>
      <w:bookmarkEnd w:id="354"/>
    </w:p>
    <w:p>
      <w:pPr>
        <w:tabs>
          <w:tab w:val="clear" w:pos="426"/>
        </w:tabs>
      </w:pPr>
      <w:r>
        <w:rPr>
          <w:rFonts w:hint="eastAsia"/>
        </w:rPr>
        <w:t>46.1  本项目履约担保的相关要求：详见“投标须知前附表”。</w:t>
      </w:r>
    </w:p>
    <w:p>
      <w:pPr>
        <w:tabs>
          <w:tab w:val="clear" w:pos="426"/>
        </w:tabs>
      </w:pPr>
      <w:r>
        <w:rPr>
          <w:rFonts w:hint="eastAsia"/>
        </w:rPr>
        <w:t>46.2  在签订合同前，中标人应按规定向采购人提交履约担保，采用履约保函形式的可参照使用本招标文件提供的格式。</w:t>
      </w:r>
    </w:p>
    <w:p>
      <w:pPr>
        <w:tabs>
          <w:tab w:val="clear" w:pos="426"/>
        </w:tabs>
      </w:pPr>
      <w:r>
        <w:rPr>
          <w:rFonts w:hint="eastAsia"/>
        </w:rPr>
        <w:t>46.3  联合体中标的，其履约担保由联合体牵头人提交，并应符合本节第42.1条、第45.2条的规定。</w:t>
      </w:r>
    </w:p>
    <w:p>
      <w:pPr>
        <w:tabs>
          <w:tab w:val="clear" w:pos="426"/>
        </w:tabs>
      </w:pPr>
      <w:r>
        <w:rPr>
          <w:rFonts w:hint="eastAsia"/>
        </w:rPr>
        <w:t>46.4  如果中标人拒不提交本节第42.1条、第42.2条要求的履约担保的，采购人可取消其中标资格，并没收其投标担保。</w:t>
      </w:r>
    </w:p>
    <w:p>
      <w:pPr>
        <w:tabs>
          <w:tab w:val="clear" w:pos="426"/>
        </w:tabs>
      </w:pPr>
      <w:bookmarkStart w:id="355" w:name="_Toc201401408"/>
      <w:bookmarkStart w:id="356" w:name="_Toc201997862"/>
      <w:bookmarkStart w:id="357" w:name="_Toc201401600"/>
      <w:r>
        <w:rPr>
          <w:rFonts w:hint="eastAsia"/>
        </w:rPr>
        <w:t>47．  签订合同</w:t>
      </w:r>
      <w:bookmarkEnd w:id="355"/>
      <w:bookmarkEnd w:id="356"/>
      <w:bookmarkEnd w:id="357"/>
    </w:p>
    <w:p>
      <w:pPr>
        <w:tabs>
          <w:tab w:val="clear" w:pos="426"/>
        </w:tabs>
      </w:pPr>
      <w:r>
        <w:rPr>
          <w:rFonts w:hint="eastAsia"/>
        </w:rPr>
        <w:t>47.1  采购人和中标人应当按“投标须知前附表”的规定，依据招标文件和中标人的投标文件订立书面合同。</w:t>
      </w:r>
    </w:p>
    <w:p>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pPr>
        <w:pStyle w:val="6"/>
        <w:tabs>
          <w:tab w:val="clear" w:pos="426"/>
        </w:tabs>
      </w:pPr>
      <w:bookmarkStart w:id="358" w:name="_Toc398220538"/>
      <w:bookmarkStart w:id="359" w:name="_Toc432592830"/>
      <w:bookmarkStart w:id="360" w:name="_Toc3628673"/>
      <w:r>
        <w:rPr>
          <w:rFonts w:hint="eastAsia"/>
        </w:rPr>
        <w:t>第十章 质疑受理</w:t>
      </w:r>
      <w:bookmarkEnd w:id="358"/>
      <w:bookmarkEnd w:id="359"/>
      <w:bookmarkEnd w:id="360"/>
    </w:p>
    <w:p>
      <w:pPr>
        <w:tabs>
          <w:tab w:val="clear" w:pos="426"/>
        </w:tabs>
      </w:pPr>
      <w:r>
        <w:rPr>
          <w:rFonts w:hint="eastAsia"/>
        </w:rPr>
        <w:t>48.质疑受理机构</w:t>
      </w:r>
    </w:p>
    <w:p>
      <w:pPr>
        <w:tabs>
          <w:tab w:val="clear" w:pos="426"/>
        </w:tabs>
        <w:rPr>
          <w:sz w:val="22"/>
          <w:szCs w:val="22"/>
        </w:rPr>
      </w:pPr>
      <w:r>
        <w:rPr>
          <w:rFonts w:hint="eastAsia"/>
        </w:rPr>
        <w:t>采购代理机构及采购人</w:t>
      </w:r>
      <w:r>
        <w:t>负责受理和答复质疑</w:t>
      </w:r>
      <w:r>
        <w:rPr>
          <w:sz w:val="22"/>
          <w:szCs w:val="22"/>
        </w:rPr>
        <w:t>。</w:t>
      </w:r>
    </w:p>
    <w:p>
      <w:pPr>
        <w:tabs>
          <w:tab w:val="clear" w:pos="426"/>
        </w:tabs>
      </w:pPr>
      <w:r>
        <w:rPr>
          <w:rFonts w:hint="eastAsia"/>
        </w:rPr>
        <w:t>49.质疑处理原则</w:t>
      </w:r>
    </w:p>
    <w:p>
      <w:pPr>
        <w:tabs>
          <w:tab w:val="clear" w:pos="426"/>
        </w:tabs>
      </w:pPr>
      <w:r>
        <w:rPr>
          <w:rFonts w:hint="eastAsia"/>
        </w:rPr>
        <w:t>49.1</w:t>
      </w:r>
      <w:r>
        <w:t>质疑处理遵循公平、公正、规范、高效的原则。</w:t>
      </w:r>
    </w:p>
    <w:p>
      <w:pPr>
        <w:tabs>
          <w:tab w:val="clear" w:pos="426"/>
        </w:tabs>
      </w:pPr>
      <w:r>
        <w:rPr>
          <w:rFonts w:hint="eastAsia"/>
        </w:rPr>
        <w:t>49.2</w:t>
      </w:r>
      <w:r>
        <w:t>供应商质疑实行实名制和“谁质疑，谁举证”的原则，质疑应有具体的事项及事实根据。</w:t>
      </w:r>
    </w:p>
    <w:p>
      <w:pPr>
        <w:tabs>
          <w:tab w:val="clear" w:pos="426"/>
        </w:tabs>
      </w:pPr>
      <w:r>
        <w:rPr>
          <w:rFonts w:hint="eastAsia"/>
        </w:rPr>
        <w:t>50.质疑受理的时效和范围</w:t>
      </w:r>
    </w:p>
    <w:p>
      <w:pPr>
        <w:tabs>
          <w:tab w:val="clear" w:pos="426"/>
        </w:tabs>
      </w:pPr>
      <w:r>
        <w:rPr>
          <w:rFonts w:hint="eastAsia"/>
        </w:rPr>
        <w:t>50.1供应商认为采购文件、采购过程和中标、成交结果使自己权益受到损害的，可以在知道或者应知其权益受到损害之日起七个工作日内，以书面形式向采购代理机构提出质疑。</w:t>
      </w:r>
    </w:p>
    <w:p>
      <w:pPr>
        <w:tabs>
          <w:tab w:val="clear" w:pos="426"/>
        </w:tabs>
      </w:pPr>
      <w:r>
        <w:rPr>
          <w:rFonts w:hint="eastAsia"/>
        </w:rPr>
        <w:t>50.2供应商对采购文件有疑问的，采购代理机构及采购人按答疑程序处理；供应商对采购文件有异议的，按质疑程序处理。</w:t>
      </w:r>
    </w:p>
    <w:p>
      <w:pPr>
        <w:tabs>
          <w:tab w:val="clear" w:pos="426"/>
        </w:tabs>
      </w:pPr>
      <w:r>
        <w:rPr>
          <w:rFonts w:hint="eastAsia"/>
        </w:rPr>
        <w:t>51.质疑条件</w:t>
      </w:r>
    </w:p>
    <w:p>
      <w:pPr>
        <w:tabs>
          <w:tab w:val="clear" w:pos="426"/>
        </w:tabs>
      </w:pPr>
      <w:r>
        <w:rPr>
          <w:rFonts w:hint="eastAsia"/>
        </w:rPr>
        <w:t>51.1提出质疑的应是直接参与相应采购项目的供应商。以联合体形式参与的，由联合体共同提出；</w:t>
      </w:r>
    </w:p>
    <w:p>
      <w:pPr>
        <w:tabs>
          <w:tab w:val="clear" w:pos="426"/>
        </w:tabs>
      </w:pPr>
      <w:r>
        <w:rPr>
          <w:rFonts w:hint="eastAsia"/>
        </w:rPr>
        <w:t>51.2提供质疑的项目名称和编号、质疑供应商的单位名称、详细地址、邮政编码、联系人及联系电话等基本情况；</w:t>
      </w:r>
    </w:p>
    <w:p>
      <w:pPr>
        <w:tabs>
          <w:tab w:val="clear" w:pos="426"/>
        </w:tabs>
      </w:pPr>
      <w:r>
        <w:rPr>
          <w:rFonts w:hint="eastAsia"/>
        </w:rPr>
        <w:t>51.3有质疑的具体事项、请求及理由，并附相关证据材料；</w:t>
      </w:r>
    </w:p>
    <w:p>
      <w:pPr>
        <w:tabs>
          <w:tab w:val="clear" w:pos="426"/>
        </w:tabs>
      </w:pPr>
      <w:r>
        <w:rPr>
          <w:rFonts w:hint="eastAsia"/>
        </w:rPr>
        <w:t>51.4质疑书加盖公章，被授权人进行质疑的同时提交法人授权委托书；</w:t>
      </w:r>
    </w:p>
    <w:p>
      <w:pPr>
        <w:tabs>
          <w:tab w:val="clear" w:pos="426"/>
        </w:tabs>
      </w:pPr>
      <w:r>
        <w:rPr>
          <w:rFonts w:hint="eastAsia"/>
        </w:rPr>
        <w:t>51.5质疑材料中有外文资料的，应一并附上中文译本，并以中文译本为准。</w:t>
      </w:r>
    </w:p>
    <w:p>
      <w:pPr>
        <w:tabs>
          <w:tab w:val="clear" w:pos="426"/>
        </w:tabs>
      </w:pPr>
      <w:r>
        <w:rPr>
          <w:rFonts w:hint="eastAsia"/>
        </w:rPr>
        <w:t>51.6质疑不得超过质疑受理的时效和范围。</w:t>
      </w:r>
    </w:p>
    <w:p>
      <w:pPr>
        <w:tabs>
          <w:tab w:val="clear" w:pos="426"/>
        </w:tabs>
      </w:pPr>
      <w:r>
        <w:rPr>
          <w:rFonts w:hint="eastAsia"/>
        </w:rPr>
        <w:t>不符合上述条件的，我采购代理机构不予受理。</w:t>
      </w:r>
    </w:p>
    <w:p>
      <w:pPr>
        <w:tabs>
          <w:tab w:val="clear" w:pos="426"/>
        </w:tabs>
      </w:pPr>
      <w:r>
        <w:rPr>
          <w:rFonts w:hint="eastAsia"/>
        </w:rPr>
        <w:t>52.受理质疑办理程序</w:t>
      </w:r>
    </w:p>
    <w:p>
      <w:pPr>
        <w:tabs>
          <w:tab w:val="clear" w:pos="426"/>
        </w:tabs>
      </w:pPr>
      <w:r>
        <w:rPr>
          <w:rFonts w:hint="eastAsia"/>
        </w:rPr>
        <w:t>52.1先与质疑供应商进行沟通，以消除因误解或对采购规则和程序的不了解而引起的质疑。对沟通情况满意的，供应商撤回质疑，质疑处理程序终止。</w:t>
      </w:r>
    </w:p>
    <w:p>
      <w:pPr>
        <w:tabs>
          <w:tab w:val="clear" w:pos="426"/>
        </w:tabs>
      </w:pPr>
      <w:r>
        <w:rPr>
          <w:rFonts w:hint="eastAsia"/>
        </w:rPr>
        <w:t>52.2处理质疑一般进行书面审查；必要时听取各方当事人的陈述和申辩、进行相关调查；组织原评标委员会或谈判小组进行复议。</w:t>
      </w:r>
    </w:p>
    <w:p>
      <w:pPr>
        <w:tabs>
          <w:tab w:val="clear" w:pos="426"/>
        </w:tabs>
      </w:pPr>
      <w:r>
        <w:rPr>
          <w:rFonts w:hint="eastAsia"/>
        </w:rPr>
        <w:t>52.3在质疑处理期间，采购代理机构视情形决定暂停采购活动。</w:t>
      </w:r>
    </w:p>
    <w:p>
      <w:pPr>
        <w:tabs>
          <w:tab w:val="clear" w:pos="426"/>
        </w:tabs>
      </w:pPr>
      <w:r>
        <w:rPr>
          <w:rFonts w:hint="eastAsia"/>
        </w:rPr>
        <w:t>52.4采购代理机构原则上在质疑受理之日起十个工作日内书面答复质疑供应商。答复函以直接领取、传真或邮寄方式送达。</w:t>
      </w:r>
    </w:p>
    <w:p>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pPr>
        <w:tabs>
          <w:tab w:val="clear" w:pos="426"/>
        </w:tabs>
      </w:pPr>
      <w:r>
        <w:rPr>
          <w:rFonts w:hint="eastAsia"/>
        </w:rPr>
        <w:t>53.相关责任与义务</w:t>
      </w:r>
    </w:p>
    <w:p>
      <w:pPr>
        <w:tabs>
          <w:tab w:val="clear" w:pos="426"/>
        </w:tabs>
      </w:pPr>
      <w:r>
        <w:rPr>
          <w:rFonts w:hint="eastAsia"/>
        </w:rPr>
        <w:t>53.1采购单位、评标专家和相关供应商等当事人应积极配合采购代理机构进行质疑调查，如实反映情况，及时提供证明材料。</w:t>
      </w:r>
    </w:p>
    <w:p>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pPr>
        <w:tabs>
          <w:tab w:val="clear" w:pos="426"/>
        </w:tabs>
      </w:pPr>
      <w:r>
        <w:rPr>
          <w:rFonts w:hint="eastAsia"/>
        </w:rPr>
        <w:t>53.2.1捏造事实或提供虚假证明材料的；</w:t>
      </w:r>
    </w:p>
    <w:p>
      <w:pPr>
        <w:tabs>
          <w:tab w:val="clear" w:pos="426"/>
        </w:tabs>
      </w:pPr>
      <w:r>
        <w:rPr>
          <w:rFonts w:hint="eastAsia"/>
        </w:rPr>
        <w:t>53.2.2假冒他人名义进行质疑的；</w:t>
      </w:r>
    </w:p>
    <w:p>
      <w:pPr>
        <w:tabs>
          <w:tab w:val="clear" w:pos="426"/>
        </w:tabs>
      </w:pPr>
      <w:r>
        <w:rPr>
          <w:rFonts w:hint="eastAsia"/>
        </w:rPr>
        <w:t>53.2.3拒不配合进行有关调查、情节严重的。</w:t>
      </w:r>
    </w:p>
    <w:p>
      <w:pPr>
        <w:tabs>
          <w:tab w:val="clear" w:pos="426"/>
        </w:tabs>
        <w:rPr>
          <w:b/>
        </w:rPr>
      </w:pPr>
      <w:bookmarkStart w:id="361" w:name="_Toc201401409"/>
      <w:bookmarkStart w:id="362" w:name="_Toc201997863"/>
      <w:bookmarkStart w:id="363" w:name="_Toc201401601"/>
      <w:r>
        <w:rPr>
          <w:rFonts w:hint="eastAsia"/>
        </w:rPr>
        <w:t xml:space="preserve">54．  </w:t>
      </w:r>
      <w:r>
        <w:rPr>
          <w:rFonts w:hint="eastAsia"/>
          <w:b/>
        </w:rPr>
        <w:t>其他</w:t>
      </w:r>
      <w:bookmarkEnd w:id="361"/>
      <w:bookmarkEnd w:id="362"/>
      <w:bookmarkEnd w:id="363"/>
    </w:p>
    <w:p>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pPr>
        <w:tabs>
          <w:tab w:val="clear" w:pos="426"/>
        </w:tabs>
      </w:pPr>
      <w:r>
        <w:rPr>
          <w:rFonts w:hint="eastAsia"/>
        </w:rPr>
        <w:t>54.2 采购代理机构向投标人提供的资料和数据，是采购代理机构现有的能供投标人利用的资料，采购代理机构对投标人由此而作出的推论、理解和结论概不负责。</w:t>
      </w:r>
    </w:p>
    <w:p>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pPr>
        <w:tabs>
          <w:tab w:val="clear" w:pos="426"/>
        </w:tabs>
      </w:pPr>
      <w:r>
        <w:rPr>
          <w:rFonts w:hint="eastAsia"/>
        </w:rPr>
        <w:t>54.4 中标无效的，发出的中标通知书和签订的合同自始没有法律约束力，但不影响合同中存在的有关解决争议方法的条款的效力。</w:t>
      </w:r>
    </w:p>
    <w:p>
      <w:pPr>
        <w:tabs>
          <w:tab w:val="clear" w:pos="426"/>
        </w:tabs>
      </w:pPr>
      <w:r>
        <w:rPr>
          <w:rFonts w:hint="eastAsia"/>
        </w:rPr>
        <w:t>54.5 本招标文件所有的附件与本招标文件具有同等效力。</w:t>
      </w:r>
    </w:p>
    <w:p>
      <w:pPr>
        <w:tabs>
          <w:tab w:val="clear" w:pos="426"/>
        </w:tabs>
      </w:pPr>
    </w:p>
    <w:p>
      <w:pPr>
        <w:pStyle w:val="42"/>
        <w:tabs>
          <w:tab w:val="clear" w:pos="426"/>
        </w:tabs>
      </w:pPr>
      <w:r>
        <w:rPr>
          <w:rFonts w:ascii="宋体" w:hAnsi="宋体"/>
        </w:rPr>
        <w:br w:type="page"/>
      </w:r>
      <w:bookmarkStart w:id="364" w:name="_Toc3628674"/>
      <w:r>
        <w:rPr>
          <w:rFonts w:hint="eastAsia"/>
        </w:rPr>
        <w:t>招标代理服务取费说明</w:t>
      </w:r>
      <w:bookmarkEnd w:id="364"/>
    </w:p>
    <w:p>
      <w:pPr>
        <w:tabs>
          <w:tab w:val="clear" w:pos="426"/>
        </w:tabs>
        <w:spacing w:line="300" w:lineRule="auto"/>
        <w:ind w:firstLine="440" w:firstLineChars="200"/>
        <w:rPr>
          <w:sz w:val="22"/>
        </w:rPr>
      </w:pPr>
    </w:p>
    <w:p>
      <w:pPr>
        <w:tabs>
          <w:tab w:val="clear" w:pos="426"/>
        </w:tabs>
        <w:spacing w:line="300" w:lineRule="auto"/>
        <w:ind w:firstLine="440" w:firstLineChars="200"/>
        <w:rPr>
          <w:sz w:val="22"/>
        </w:rPr>
      </w:pPr>
      <w:r>
        <w:rPr>
          <w:rFonts w:hint="eastAsia"/>
          <w:sz w:val="22"/>
        </w:rPr>
        <w:t>根据《深圳市财政委员会关于规范深圳市社会采购代理机构管理有关事项的补充通知》（深财购〔</w:t>
      </w:r>
      <w:r>
        <w:rPr>
          <w:sz w:val="22"/>
        </w:rPr>
        <w:t>2018〕27号）</w:t>
      </w:r>
      <w:r>
        <w:rPr>
          <w:rFonts w:hint="eastAsia"/>
          <w:sz w:val="22"/>
        </w:rPr>
        <w:t xml:space="preserve">的规定，招标代理服务收费将以招标文件规定的计算基数，按差额定率累进法计算，并向中标人收取，收费标准如下表所列： </w:t>
      </w:r>
    </w:p>
    <w:p>
      <w:pPr>
        <w:tabs>
          <w:tab w:val="clear" w:pos="426"/>
        </w:tabs>
        <w:spacing w:line="300" w:lineRule="auto"/>
        <w:ind w:firstLine="440" w:firstLineChars="200"/>
        <w:rPr>
          <w:sz w:val="22"/>
        </w:rPr>
      </w:pPr>
      <w:r>
        <w:rPr>
          <w:rFonts w:hint="eastAsia"/>
          <w:sz w:val="22"/>
        </w:rPr>
        <w:t>招标代理服务收费标准</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5"/>
        <w:gridCol w:w="184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2986" w:type="dxa"/>
            <w:vAlign w:val="center"/>
          </w:tcPr>
          <w:p>
            <w:pPr>
              <w:tabs>
                <w:tab w:val="clear" w:pos="426"/>
              </w:tabs>
              <w:spacing w:line="240" w:lineRule="auto"/>
              <w:jc w:val="right"/>
              <w:rPr>
                <w:sz w:val="22"/>
              </w:rPr>
            </w:pPr>
            <w:r>
              <w:rPr>
                <w:rFonts w:hint="eastAsia"/>
                <w:sz w:val="22"/>
              </w:rPr>
              <w:t>项目类型</w:t>
            </w:r>
          </w:p>
          <w:p>
            <w:pPr>
              <w:tabs>
                <w:tab w:val="clear" w:pos="426"/>
              </w:tabs>
              <w:spacing w:line="240" w:lineRule="auto"/>
              <w:jc w:val="center"/>
              <w:rPr>
                <w:sz w:val="22"/>
              </w:rPr>
            </w:pPr>
            <w:r>
              <w:rPr>
                <w:rFonts w:hint="eastAsia"/>
                <w:sz w:val="22"/>
              </w:rPr>
              <w:t>费率</w:t>
            </w:r>
          </w:p>
          <w:p>
            <w:pPr>
              <w:tabs>
                <w:tab w:val="clear" w:pos="426"/>
              </w:tabs>
              <w:spacing w:line="240" w:lineRule="auto"/>
              <w:rPr>
                <w:sz w:val="22"/>
              </w:rPr>
            </w:pPr>
            <w:r>
              <w:rPr>
                <w:rFonts w:hint="eastAsia"/>
                <w:sz w:val="22"/>
              </w:rPr>
              <w:t>中标金额</w:t>
            </w:r>
          </w:p>
        </w:tc>
        <w:tc>
          <w:tcPr>
            <w:tcW w:w="1845" w:type="dxa"/>
            <w:vAlign w:val="center"/>
          </w:tcPr>
          <w:p>
            <w:pPr>
              <w:tabs>
                <w:tab w:val="clear" w:pos="426"/>
              </w:tabs>
              <w:spacing w:line="240" w:lineRule="auto"/>
              <w:jc w:val="center"/>
              <w:rPr>
                <w:sz w:val="22"/>
              </w:rPr>
            </w:pPr>
            <w:r>
              <w:rPr>
                <w:rFonts w:hint="eastAsia"/>
                <w:sz w:val="22"/>
              </w:rPr>
              <w:t>货物采购</w:t>
            </w:r>
          </w:p>
        </w:tc>
        <w:tc>
          <w:tcPr>
            <w:tcW w:w="1845" w:type="dxa"/>
            <w:vAlign w:val="center"/>
          </w:tcPr>
          <w:p>
            <w:pPr>
              <w:tabs>
                <w:tab w:val="clear" w:pos="426"/>
              </w:tabs>
              <w:spacing w:line="240" w:lineRule="auto"/>
              <w:jc w:val="center"/>
              <w:rPr>
                <w:sz w:val="22"/>
              </w:rPr>
            </w:pPr>
            <w:r>
              <w:rPr>
                <w:rFonts w:hint="eastAsia"/>
                <w:sz w:val="22"/>
              </w:rPr>
              <w:t>服务采购</w:t>
            </w:r>
          </w:p>
        </w:tc>
        <w:tc>
          <w:tcPr>
            <w:tcW w:w="1846" w:type="dxa"/>
            <w:vAlign w:val="center"/>
          </w:tcPr>
          <w:p>
            <w:pPr>
              <w:tabs>
                <w:tab w:val="clear" w:pos="426"/>
              </w:tabs>
              <w:spacing w:line="240" w:lineRule="auto"/>
              <w:jc w:val="center"/>
              <w:rPr>
                <w:sz w:val="22"/>
              </w:rPr>
            </w:pPr>
            <w:r>
              <w:rPr>
                <w:rFonts w:hint="eastAsia"/>
                <w:sz w:val="22"/>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100万元以下</w:t>
            </w:r>
          </w:p>
        </w:tc>
        <w:tc>
          <w:tcPr>
            <w:tcW w:w="1845" w:type="dxa"/>
            <w:vAlign w:val="center"/>
          </w:tcPr>
          <w:p>
            <w:pPr>
              <w:spacing w:line="240" w:lineRule="auto"/>
              <w:jc w:val="center"/>
              <w:rPr>
                <w:color w:val="000000"/>
                <w:sz w:val="22"/>
                <w:szCs w:val="22"/>
              </w:rPr>
            </w:pPr>
            <w:r>
              <w:rPr>
                <w:rFonts w:hint="eastAsia"/>
                <w:color w:val="000000"/>
                <w:sz w:val="22"/>
                <w:szCs w:val="22"/>
              </w:rPr>
              <w:t>1.500%</w:t>
            </w:r>
          </w:p>
        </w:tc>
        <w:tc>
          <w:tcPr>
            <w:tcW w:w="1845" w:type="dxa"/>
            <w:vAlign w:val="center"/>
          </w:tcPr>
          <w:p>
            <w:pPr>
              <w:spacing w:line="240" w:lineRule="auto"/>
              <w:jc w:val="center"/>
              <w:rPr>
                <w:color w:val="000000"/>
                <w:sz w:val="22"/>
                <w:szCs w:val="22"/>
              </w:rPr>
            </w:pPr>
            <w:r>
              <w:rPr>
                <w:rFonts w:hint="eastAsia"/>
                <w:color w:val="000000"/>
                <w:sz w:val="22"/>
                <w:szCs w:val="22"/>
              </w:rPr>
              <w:t>1.500%</w:t>
            </w:r>
          </w:p>
        </w:tc>
        <w:tc>
          <w:tcPr>
            <w:tcW w:w="1846" w:type="dxa"/>
            <w:vAlign w:val="center"/>
          </w:tcPr>
          <w:p>
            <w:pPr>
              <w:spacing w:line="240" w:lineRule="auto"/>
              <w:jc w:val="center"/>
              <w:rPr>
                <w:color w:val="000000"/>
                <w:sz w:val="22"/>
                <w:szCs w:val="22"/>
              </w:rPr>
            </w:pPr>
            <w:r>
              <w:rPr>
                <w:rFonts w:hint="eastAsia"/>
                <w:color w:val="000000"/>
                <w:sz w:val="22"/>
                <w:szCs w:val="22"/>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100万元（含）-500万元</w:t>
            </w:r>
          </w:p>
        </w:tc>
        <w:tc>
          <w:tcPr>
            <w:tcW w:w="1845" w:type="dxa"/>
            <w:vAlign w:val="center"/>
          </w:tcPr>
          <w:p>
            <w:pPr>
              <w:spacing w:line="240" w:lineRule="auto"/>
              <w:jc w:val="center"/>
              <w:rPr>
                <w:color w:val="000000"/>
                <w:sz w:val="22"/>
                <w:szCs w:val="22"/>
              </w:rPr>
            </w:pPr>
            <w:r>
              <w:rPr>
                <w:rFonts w:hint="eastAsia"/>
                <w:color w:val="000000"/>
                <w:sz w:val="22"/>
                <w:szCs w:val="22"/>
              </w:rPr>
              <w:t>1.100%</w:t>
            </w:r>
          </w:p>
        </w:tc>
        <w:tc>
          <w:tcPr>
            <w:tcW w:w="1845" w:type="dxa"/>
            <w:vAlign w:val="center"/>
          </w:tcPr>
          <w:p>
            <w:pPr>
              <w:spacing w:line="240" w:lineRule="auto"/>
              <w:jc w:val="center"/>
              <w:rPr>
                <w:color w:val="000000"/>
                <w:sz w:val="22"/>
                <w:szCs w:val="22"/>
              </w:rPr>
            </w:pPr>
            <w:r>
              <w:rPr>
                <w:rFonts w:hint="eastAsia"/>
                <w:color w:val="000000"/>
                <w:sz w:val="22"/>
                <w:szCs w:val="22"/>
              </w:rPr>
              <w:t>0.800%</w:t>
            </w:r>
          </w:p>
        </w:tc>
        <w:tc>
          <w:tcPr>
            <w:tcW w:w="1846" w:type="dxa"/>
            <w:vAlign w:val="center"/>
          </w:tcPr>
          <w:p>
            <w:pPr>
              <w:spacing w:line="240" w:lineRule="auto"/>
              <w:jc w:val="center"/>
              <w:rPr>
                <w:color w:val="000000"/>
                <w:sz w:val="22"/>
                <w:szCs w:val="22"/>
              </w:rPr>
            </w:pPr>
            <w:r>
              <w:rPr>
                <w:rFonts w:hint="eastAsia"/>
                <w:color w:val="000000"/>
                <w:sz w:val="22"/>
                <w:szCs w:val="22"/>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500万元（含）-1000万元</w:t>
            </w:r>
          </w:p>
        </w:tc>
        <w:tc>
          <w:tcPr>
            <w:tcW w:w="1845" w:type="dxa"/>
            <w:vAlign w:val="center"/>
          </w:tcPr>
          <w:p>
            <w:pPr>
              <w:spacing w:line="240" w:lineRule="auto"/>
              <w:jc w:val="center"/>
              <w:rPr>
                <w:color w:val="000000"/>
                <w:sz w:val="22"/>
                <w:szCs w:val="22"/>
              </w:rPr>
            </w:pPr>
            <w:r>
              <w:rPr>
                <w:rFonts w:hint="eastAsia"/>
                <w:color w:val="000000"/>
                <w:sz w:val="22"/>
                <w:szCs w:val="22"/>
              </w:rPr>
              <w:t>0.800%</w:t>
            </w:r>
          </w:p>
        </w:tc>
        <w:tc>
          <w:tcPr>
            <w:tcW w:w="1845" w:type="dxa"/>
            <w:vAlign w:val="center"/>
          </w:tcPr>
          <w:p>
            <w:pPr>
              <w:spacing w:line="240" w:lineRule="auto"/>
              <w:jc w:val="center"/>
              <w:rPr>
                <w:color w:val="000000"/>
                <w:sz w:val="22"/>
                <w:szCs w:val="22"/>
              </w:rPr>
            </w:pPr>
            <w:r>
              <w:rPr>
                <w:rFonts w:hint="eastAsia"/>
                <w:color w:val="000000"/>
                <w:sz w:val="22"/>
                <w:szCs w:val="22"/>
              </w:rPr>
              <w:t>0.450%</w:t>
            </w:r>
          </w:p>
        </w:tc>
        <w:tc>
          <w:tcPr>
            <w:tcW w:w="1846" w:type="dxa"/>
            <w:vAlign w:val="center"/>
          </w:tcPr>
          <w:p>
            <w:pPr>
              <w:spacing w:line="240" w:lineRule="auto"/>
              <w:jc w:val="center"/>
              <w:rPr>
                <w:color w:val="000000"/>
                <w:sz w:val="22"/>
                <w:szCs w:val="22"/>
              </w:rPr>
            </w:pPr>
            <w:r>
              <w:rPr>
                <w:rFonts w:hint="eastAsia"/>
                <w:color w:val="000000"/>
                <w:sz w:val="22"/>
                <w:szCs w:val="22"/>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1000万元（含）-5000万元</w:t>
            </w:r>
          </w:p>
        </w:tc>
        <w:tc>
          <w:tcPr>
            <w:tcW w:w="1845" w:type="dxa"/>
            <w:vAlign w:val="center"/>
          </w:tcPr>
          <w:p>
            <w:pPr>
              <w:spacing w:line="240" w:lineRule="auto"/>
              <w:jc w:val="center"/>
              <w:rPr>
                <w:color w:val="000000"/>
                <w:sz w:val="22"/>
                <w:szCs w:val="22"/>
              </w:rPr>
            </w:pPr>
            <w:r>
              <w:rPr>
                <w:rFonts w:hint="eastAsia"/>
                <w:color w:val="000000"/>
                <w:sz w:val="22"/>
                <w:szCs w:val="22"/>
              </w:rPr>
              <w:t>0.500%</w:t>
            </w:r>
          </w:p>
        </w:tc>
        <w:tc>
          <w:tcPr>
            <w:tcW w:w="1845" w:type="dxa"/>
            <w:vAlign w:val="center"/>
          </w:tcPr>
          <w:p>
            <w:pPr>
              <w:spacing w:line="240" w:lineRule="auto"/>
              <w:jc w:val="center"/>
              <w:rPr>
                <w:color w:val="000000"/>
                <w:sz w:val="22"/>
                <w:szCs w:val="22"/>
              </w:rPr>
            </w:pPr>
            <w:r>
              <w:rPr>
                <w:rFonts w:hint="eastAsia"/>
                <w:color w:val="000000"/>
                <w:sz w:val="22"/>
                <w:szCs w:val="22"/>
              </w:rPr>
              <w:t>0.250%</w:t>
            </w:r>
          </w:p>
        </w:tc>
        <w:tc>
          <w:tcPr>
            <w:tcW w:w="1846" w:type="dxa"/>
            <w:vAlign w:val="center"/>
          </w:tcPr>
          <w:p>
            <w:pPr>
              <w:spacing w:line="240" w:lineRule="auto"/>
              <w:jc w:val="center"/>
              <w:rPr>
                <w:color w:val="000000"/>
                <w:sz w:val="22"/>
                <w:szCs w:val="22"/>
              </w:rPr>
            </w:pPr>
            <w:r>
              <w:rPr>
                <w:rFonts w:hint="eastAsia"/>
                <w:color w:val="000000"/>
                <w:sz w:val="22"/>
                <w:szCs w:val="22"/>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5000万元（含）-1亿元</w:t>
            </w:r>
          </w:p>
        </w:tc>
        <w:tc>
          <w:tcPr>
            <w:tcW w:w="1845" w:type="dxa"/>
            <w:vAlign w:val="center"/>
          </w:tcPr>
          <w:p>
            <w:pPr>
              <w:spacing w:line="240" w:lineRule="auto"/>
              <w:jc w:val="center"/>
              <w:rPr>
                <w:sz w:val="22"/>
                <w:szCs w:val="22"/>
              </w:rPr>
            </w:pPr>
            <w:r>
              <w:rPr>
                <w:rFonts w:hint="eastAsia"/>
                <w:sz w:val="22"/>
                <w:szCs w:val="22"/>
              </w:rPr>
              <w:t>0.250%</w:t>
            </w:r>
          </w:p>
        </w:tc>
        <w:tc>
          <w:tcPr>
            <w:tcW w:w="1845" w:type="dxa"/>
            <w:vAlign w:val="center"/>
          </w:tcPr>
          <w:p>
            <w:pPr>
              <w:spacing w:line="240" w:lineRule="auto"/>
              <w:jc w:val="center"/>
              <w:rPr>
                <w:sz w:val="22"/>
                <w:szCs w:val="22"/>
              </w:rPr>
            </w:pPr>
            <w:r>
              <w:rPr>
                <w:rFonts w:hint="eastAsia"/>
                <w:sz w:val="22"/>
                <w:szCs w:val="22"/>
              </w:rPr>
              <w:t>0.100%</w:t>
            </w:r>
          </w:p>
        </w:tc>
        <w:tc>
          <w:tcPr>
            <w:tcW w:w="1846" w:type="dxa"/>
            <w:vAlign w:val="center"/>
          </w:tcPr>
          <w:p>
            <w:pPr>
              <w:spacing w:line="240" w:lineRule="auto"/>
              <w:jc w:val="center"/>
              <w:rPr>
                <w:sz w:val="22"/>
                <w:szCs w:val="22"/>
              </w:rPr>
            </w:pPr>
            <w:r>
              <w:rPr>
                <w:rFonts w:hint="eastAsia"/>
                <w:sz w:val="22"/>
                <w:szCs w:val="22"/>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1亿元（含）-5亿元</w:t>
            </w:r>
          </w:p>
        </w:tc>
        <w:tc>
          <w:tcPr>
            <w:tcW w:w="1845" w:type="dxa"/>
            <w:vAlign w:val="center"/>
          </w:tcPr>
          <w:p>
            <w:pPr>
              <w:spacing w:line="240" w:lineRule="auto"/>
              <w:jc w:val="center"/>
              <w:rPr>
                <w:sz w:val="22"/>
                <w:szCs w:val="22"/>
              </w:rPr>
            </w:pPr>
            <w:r>
              <w:rPr>
                <w:rFonts w:hint="eastAsia"/>
                <w:sz w:val="22"/>
                <w:szCs w:val="22"/>
              </w:rPr>
              <w:t>0.050%</w:t>
            </w:r>
          </w:p>
        </w:tc>
        <w:tc>
          <w:tcPr>
            <w:tcW w:w="1845" w:type="dxa"/>
            <w:vAlign w:val="center"/>
          </w:tcPr>
          <w:p>
            <w:pPr>
              <w:spacing w:line="240" w:lineRule="auto"/>
              <w:jc w:val="center"/>
              <w:rPr>
                <w:sz w:val="22"/>
                <w:szCs w:val="22"/>
              </w:rPr>
            </w:pPr>
            <w:r>
              <w:rPr>
                <w:rFonts w:hint="eastAsia"/>
                <w:sz w:val="22"/>
                <w:szCs w:val="22"/>
              </w:rPr>
              <w:t>0.050%</w:t>
            </w:r>
          </w:p>
        </w:tc>
        <w:tc>
          <w:tcPr>
            <w:tcW w:w="1846" w:type="dxa"/>
            <w:vAlign w:val="center"/>
          </w:tcPr>
          <w:p>
            <w:pPr>
              <w:spacing w:line="240" w:lineRule="auto"/>
              <w:jc w:val="center"/>
              <w:rPr>
                <w:sz w:val="22"/>
                <w:szCs w:val="22"/>
              </w:rPr>
            </w:pPr>
            <w:r>
              <w:rPr>
                <w:rFonts w:hint="eastAsia"/>
                <w:sz w:val="22"/>
                <w:szCs w:val="22"/>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5亿元（含）-10亿元</w:t>
            </w:r>
          </w:p>
        </w:tc>
        <w:tc>
          <w:tcPr>
            <w:tcW w:w="1845" w:type="dxa"/>
            <w:vAlign w:val="center"/>
          </w:tcPr>
          <w:p>
            <w:pPr>
              <w:spacing w:line="240" w:lineRule="auto"/>
              <w:jc w:val="center"/>
              <w:rPr>
                <w:sz w:val="22"/>
                <w:szCs w:val="22"/>
              </w:rPr>
            </w:pPr>
            <w:r>
              <w:rPr>
                <w:rFonts w:hint="eastAsia"/>
                <w:sz w:val="22"/>
                <w:szCs w:val="22"/>
              </w:rPr>
              <w:t>0.035%</w:t>
            </w:r>
          </w:p>
        </w:tc>
        <w:tc>
          <w:tcPr>
            <w:tcW w:w="1845" w:type="dxa"/>
            <w:vAlign w:val="center"/>
          </w:tcPr>
          <w:p>
            <w:pPr>
              <w:spacing w:line="240" w:lineRule="auto"/>
              <w:jc w:val="center"/>
              <w:rPr>
                <w:sz w:val="22"/>
                <w:szCs w:val="22"/>
              </w:rPr>
            </w:pPr>
            <w:r>
              <w:rPr>
                <w:rFonts w:hint="eastAsia"/>
                <w:sz w:val="22"/>
                <w:szCs w:val="22"/>
              </w:rPr>
              <w:t>0.035%</w:t>
            </w:r>
          </w:p>
        </w:tc>
        <w:tc>
          <w:tcPr>
            <w:tcW w:w="1846" w:type="dxa"/>
            <w:vAlign w:val="center"/>
          </w:tcPr>
          <w:p>
            <w:pPr>
              <w:spacing w:line="240" w:lineRule="auto"/>
              <w:jc w:val="center"/>
              <w:rPr>
                <w:sz w:val="22"/>
                <w:szCs w:val="22"/>
              </w:rPr>
            </w:pPr>
            <w:r>
              <w:rPr>
                <w:rFonts w:hint="eastAsia"/>
                <w:sz w:val="22"/>
                <w:szCs w:val="22"/>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10亿元（含）-50亿元</w:t>
            </w:r>
          </w:p>
        </w:tc>
        <w:tc>
          <w:tcPr>
            <w:tcW w:w="1845" w:type="dxa"/>
            <w:vAlign w:val="center"/>
          </w:tcPr>
          <w:p>
            <w:pPr>
              <w:spacing w:line="240" w:lineRule="auto"/>
              <w:jc w:val="center"/>
              <w:rPr>
                <w:sz w:val="22"/>
                <w:szCs w:val="22"/>
              </w:rPr>
            </w:pPr>
            <w:r>
              <w:rPr>
                <w:rFonts w:hint="eastAsia"/>
                <w:sz w:val="22"/>
                <w:szCs w:val="22"/>
              </w:rPr>
              <w:t>0.008%</w:t>
            </w:r>
          </w:p>
        </w:tc>
        <w:tc>
          <w:tcPr>
            <w:tcW w:w="1845" w:type="dxa"/>
            <w:vAlign w:val="center"/>
          </w:tcPr>
          <w:p>
            <w:pPr>
              <w:spacing w:line="240" w:lineRule="auto"/>
              <w:jc w:val="center"/>
              <w:rPr>
                <w:sz w:val="22"/>
                <w:szCs w:val="22"/>
              </w:rPr>
            </w:pPr>
            <w:r>
              <w:rPr>
                <w:rFonts w:hint="eastAsia"/>
                <w:sz w:val="22"/>
                <w:szCs w:val="22"/>
              </w:rPr>
              <w:t>0.008%</w:t>
            </w:r>
          </w:p>
        </w:tc>
        <w:tc>
          <w:tcPr>
            <w:tcW w:w="1846" w:type="dxa"/>
            <w:vAlign w:val="center"/>
          </w:tcPr>
          <w:p>
            <w:pPr>
              <w:spacing w:line="240" w:lineRule="auto"/>
              <w:jc w:val="center"/>
              <w:rPr>
                <w:sz w:val="22"/>
                <w:szCs w:val="22"/>
              </w:rPr>
            </w:pPr>
            <w:r>
              <w:rPr>
                <w:rFonts w:hint="eastAsia"/>
                <w:sz w:val="22"/>
                <w:szCs w:val="22"/>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50亿元（含）-100亿元</w:t>
            </w:r>
          </w:p>
        </w:tc>
        <w:tc>
          <w:tcPr>
            <w:tcW w:w="1845" w:type="dxa"/>
            <w:vAlign w:val="center"/>
          </w:tcPr>
          <w:p>
            <w:pPr>
              <w:spacing w:line="240" w:lineRule="auto"/>
              <w:jc w:val="center"/>
              <w:rPr>
                <w:sz w:val="22"/>
                <w:szCs w:val="22"/>
              </w:rPr>
            </w:pPr>
            <w:r>
              <w:rPr>
                <w:rFonts w:hint="eastAsia"/>
                <w:sz w:val="22"/>
                <w:szCs w:val="22"/>
              </w:rPr>
              <w:t>0.006%</w:t>
            </w:r>
          </w:p>
        </w:tc>
        <w:tc>
          <w:tcPr>
            <w:tcW w:w="1845" w:type="dxa"/>
            <w:vAlign w:val="center"/>
          </w:tcPr>
          <w:p>
            <w:pPr>
              <w:spacing w:line="240" w:lineRule="auto"/>
              <w:jc w:val="center"/>
              <w:rPr>
                <w:sz w:val="22"/>
                <w:szCs w:val="22"/>
              </w:rPr>
            </w:pPr>
            <w:r>
              <w:rPr>
                <w:rFonts w:hint="eastAsia"/>
                <w:sz w:val="22"/>
                <w:szCs w:val="22"/>
              </w:rPr>
              <w:t>0.006%</w:t>
            </w:r>
          </w:p>
        </w:tc>
        <w:tc>
          <w:tcPr>
            <w:tcW w:w="1846" w:type="dxa"/>
            <w:vAlign w:val="center"/>
          </w:tcPr>
          <w:p>
            <w:pPr>
              <w:spacing w:line="240" w:lineRule="auto"/>
              <w:jc w:val="center"/>
              <w:rPr>
                <w:sz w:val="22"/>
                <w:szCs w:val="22"/>
              </w:rPr>
            </w:pPr>
            <w:r>
              <w:rPr>
                <w:rFonts w:hint="eastAsia"/>
                <w:sz w:val="22"/>
                <w:szCs w:val="22"/>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rPr>
            </w:pPr>
            <w:r>
              <w:rPr>
                <w:rFonts w:hint="eastAsia"/>
                <w:color w:val="000000"/>
                <w:sz w:val="22"/>
                <w:szCs w:val="22"/>
              </w:rPr>
              <w:t>100亿元（含）以上</w:t>
            </w:r>
          </w:p>
        </w:tc>
        <w:tc>
          <w:tcPr>
            <w:tcW w:w="1845" w:type="dxa"/>
            <w:vAlign w:val="center"/>
          </w:tcPr>
          <w:p>
            <w:pPr>
              <w:spacing w:line="240" w:lineRule="auto"/>
              <w:jc w:val="center"/>
              <w:rPr>
                <w:sz w:val="22"/>
                <w:szCs w:val="22"/>
              </w:rPr>
            </w:pPr>
            <w:r>
              <w:rPr>
                <w:rFonts w:hint="eastAsia"/>
                <w:sz w:val="22"/>
                <w:szCs w:val="22"/>
              </w:rPr>
              <w:t>0.004%</w:t>
            </w:r>
          </w:p>
        </w:tc>
        <w:tc>
          <w:tcPr>
            <w:tcW w:w="1845" w:type="dxa"/>
            <w:vAlign w:val="center"/>
          </w:tcPr>
          <w:p>
            <w:pPr>
              <w:spacing w:line="240" w:lineRule="auto"/>
              <w:jc w:val="center"/>
              <w:rPr>
                <w:sz w:val="22"/>
                <w:szCs w:val="22"/>
              </w:rPr>
            </w:pPr>
            <w:r>
              <w:rPr>
                <w:rFonts w:hint="eastAsia"/>
                <w:sz w:val="22"/>
                <w:szCs w:val="22"/>
              </w:rPr>
              <w:t>0.004%</w:t>
            </w:r>
          </w:p>
        </w:tc>
        <w:tc>
          <w:tcPr>
            <w:tcW w:w="1846" w:type="dxa"/>
            <w:vAlign w:val="center"/>
          </w:tcPr>
          <w:p>
            <w:pPr>
              <w:spacing w:line="240" w:lineRule="auto"/>
              <w:jc w:val="center"/>
              <w:rPr>
                <w:sz w:val="22"/>
                <w:szCs w:val="22"/>
              </w:rPr>
            </w:pPr>
            <w:r>
              <w:rPr>
                <w:rFonts w:hint="eastAsia"/>
                <w:sz w:val="22"/>
                <w:szCs w:val="22"/>
              </w:rPr>
              <w:t>0.004%</w:t>
            </w:r>
          </w:p>
        </w:tc>
      </w:tr>
    </w:tbl>
    <w:p>
      <w:pPr>
        <w:tabs>
          <w:tab w:val="clear" w:pos="426"/>
        </w:tabs>
        <w:spacing w:line="300" w:lineRule="auto"/>
        <w:ind w:left="424" w:leftChars="202"/>
        <w:rPr>
          <w:sz w:val="22"/>
        </w:rPr>
      </w:pPr>
      <w:r>
        <w:rPr>
          <w:rFonts w:hint="eastAsia"/>
          <w:sz w:val="22"/>
        </w:rPr>
        <w:t>以某货物类项目招标为例：</w:t>
      </w:r>
    </w:p>
    <w:p>
      <w:pPr>
        <w:tabs>
          <w:tab w:val="clear" w:pos="426"/>
        </w:tabs>
        <w:spacing w:line="300" w:lineRule="auto"/>
        <w:ind w:left="424" w:leftChars="202"/>
        <w:rPr>
          <w:sz w:val="22"/>
        </w:rPr>
      </w:pPr>
      <w:r>
        <w:rPr>
          <w:rFonts w:hint="eastAsia"/>
          <w:sz w:val="22"/>
        </w:rPr>
        <w:t>假设其计算基准价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pPr>
        <w:tabs>
          <w:tab w:val="clear" w:pos="426"/>
        </w:tabs>
        <w:spacing w:line="300" w:lineRule="auto"/>
        <w:ind w:left="424" w:leftChars="202"/>
        <w:rPr>
          <w:sz w:val="22"/>
        </w:rPr>
      </w:pPr>
      <w:r>
        <w:rPr>
          <w:rFonts w:hint="eastAsia"/>
          <w:sz w:val="22"/>
        </w:rPr>
        <w:t>100万元×1.5%=1.5万元</w:t>
      </w:r>
    </w:p>
    <w:p>
      <w:pPr>
        <w:tabs>
          <w:tab w:val="clear" w:pos="426"/>
        </w:tabs>
        <w:spacing w:line="300" w:lineRule="auto"/>
        <w:ind w:left="424" w:leftChars="202"/>
        <w:rPr>
          <w:sz w:val="22"/>
        </w:rPr>
      </w:pPr>
      <w:r>
        <w:rPr>
          <w:rFonts w:hint="eastAsia"/>
          <w:sz w:val="22"/>
        </w:rPr>
        <w:t xml:space="preserve">（500-100）万元×1.1%=4.4万元 </w:t>
      </w:r>
    </w:p>
    <w:p>
      <w:pPr>
        <w:tabs>
          <w:tab w:val="clear" w:pos="426"/>
        </w:tabs>
        <w:spacing w:line="300" w:lineRule="auto"/>
        <w:ind w:left="424" w:leftChars="202"/>
        <w:rPr>
          <w:sz w:val="22"/>
        </w:rPr>
      </w:pPr>
      <w:r>
        <w:rPr>
          <w:rFonts w:hint="eastAsia"/>
          <w:sz w:val="22"/>
        </w:rPr>
        <w:t xml:space="preserve">（1000-500）万元×0.8%=4万元 </w:t>
      </w:r>
    </w:p>
    <w:p>
      <w:pPr>
        <w:tabs>
          <w:tab w:val="clear" w:pos="426"/>
        </w:tabs>
        <w:spacing w:line="300" w:lineRule="auto"/>
        <w:ind w:left="424" w:leftChars="202"/>
        <w:rPr>
          <w:sz w:val="22"/>
        </w:rPr>
      </w:pPr>
      <w:r>
        <w:rPr>
          <w:rFonts w:hint="eastAsia"/>
          <w:sz w:val="22"/>
        </w:rPr>
        <w:t>（5000-1000）万元×0.5%=20万元</w:t>
      </w:r>
    </w:p>
    <w:p>
      <w:pPr>
        <w:tabs>
          <w:tab w:val="clear" w:pos="426"/>
        </w:tabs>
        <w:spacing w:line="300" w:lineRule="auto"/>
        <w:ind w:left="424" w:leftChars="202"/>
        <w:rPr>
          <w:sz w:val="22"/>
        </w:rPr>
      </w:pPr>
      <w:r>
        <w:rPr>
          <w:rFonts w:hint="eastAsia"/>
          <w:sz w:val="22"/>
        </w:rPr>
        <w:t>因此，该项目招标代理服务费为：</w:t>
      </w:r>
      <w:r>
        <w:rPr>
          <w:sz w:val="22"/>
        </w:rPr>
        <w:t>1.5万元+4.4万元+4万元+20万元=29.9万元</w:t>
      </w:r>
    </w:p>
    <w:p>
      <w:pPr>
        <w:tabs>
          <w:tab w:val="clear" w:pos="426"/>
        </w:tabs>
      </w:pPr>
    </w:p>
    <w:p>
      <w:pPr>
        <w:pStyle w:val="33"/>
        <w:tabs>
          <w:tab w:val="clear" w:pos="426"/>
        </w:tabs>
      </w:pPr>
    </w:p>
    <w:sectPr>
      <w:pgSz w:w="11906" w:h="16838"/>
      <w:pgMar w:top="1134" w:right="1134" w:bottom="1134"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Wingdings 2">
    <w:panose1 w:val="05020102010507070707"/>
    <w:charset w:val="02"/>
    <w:family w:val="roman"/>
    <w:pitch w:val="default"/>
    <w:sig w:usb0="00000000" w:usb1="00000000" w:usb2="00000000" w:usb3="00000000" w:csb0="80000000"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9"/>
      </w:rPr>
    </w:pPr>
    <w:r>
      <w:rPr>
        <w:rStyle w:val="49"/>
      </w:rPr>
      <w:fldChar w:fldCharType="begin"/>
    </w:r>
    <w:r>
      <w:rPr>
        <w:rStyle w:val="49"/>
      </w:rPr>
      <w:instrText xml:space="preserve">PAGE  </w:instrText>
    </w:r>
    <w:r>
      <w:rPr>
        <w:rStyle w:val="49"/>
      </w:rPr>
      <w:fldChar w:fldCharType="separate"/>
    </w:r>
    <w:r>
      <w:rPr>
        <w:rStyle w:val="49"/>
      </w:rPr>
      <w:t>59</w:t>
    </w:r>
    <w:r>
      <w:rPr>
        <w:rStyle w:val="49"/>
      </w:rP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7</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58</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04B50B"/>
    <w:multiLevelType w:val="singleLevel"/>
    <w:tmpl w:val="8504B50B"/>
    <w:lvl w:ilvl="0" w:tentative="0">
      <w:start w:val="1"/>
      <w:numFmt w:val="decimal"/>
      <w:suff w:val="nothing"/>
      <w:lvlText w:val="%1、"/>
      <w:lvlJc w:val="left"/>
    </w:lvl>
  </w:abstractNum>
  <w:abstractNum w:abstractNumId="1">
    <w:nsid w:val="991D7F66"/>
    <w:multiLevelType w:val="singleLevel"/>
    <w:tmpl w:val="991D7F66"/>
    <w:lvl w:ilvl="0" w:tentative="0">
      <w:start w:val="1"/>
      <w:numFmt w:val="decimal"/>
      <w:suff w:val="nothing"/>
      <w:lvlText w:val="%1、"/>
      <w:lvlJc w:val="left"/>
    </w:lvl>
  </w:abstractNum>
  <w:abstractNum w:abstractNumId="2">
    <w:nsid w:val="D6A6E0CF"/>
    <w:multiLevelType w:val="multilevel"/>
    <w:tmpl w:val="D6A6E0CF"/>
    <w:lvl w:ilvl="0" w:tentative="0">
      <w:start w:val="1"/>
      <w:numFmt w:val="decimal"/>
      <w:lvlText w:val="%1、"/>
      <w:lvlJc w:val="left"/>
      <w:pPr>
        <w:ind w:left="360" w:hanging="36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4"/>
    <w:multiLevelType w:val="multilevel"/>
    <w:tmpl w:val="00000004"/>
    <w:lvl w:ilvl="0" w:tentative="0">
      <w:start w:val="1"/>
      <w:numFmt w:val="bullet"/>
      <w:pStyle w:val="1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000000A"/>
    <w:multiLevelType w:val="multilevel"/>
    <w:tmpl w:val="0000000A"/>
    <w:lvl w:ilvl="0" w:tentative="0">
      <w:start w:val="1"/>
      <w:numFmt w:val="bullet"/>
      <w:pStyle w:val="2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5">
    <w:nsid w:val="00DB0158"/>
    <w:multiLevelType w:val="multilevel"/>
    <w:tmpl w:val="00DB0158"/>
    <w:lvl w:ilvl="0" w:tentative="0">
      <w:start w:val="1"/>
      <w:numFmt w:val="bullet"/>
      <w:pStyle w:val="92"/>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6">
    <w:nsid w:val="01D320DE"/>
    <w:multiLevelType w:val="multilevel"/>
    <w:tmpl w:val="01D320DE"/>
    <w:lvl w:ilvl="0" w:tentative="0">
      <w:start w:val="1"/>
      <w:numFmt w:val="chineseCountingThousand"/>
      <w:pStyle w:val="133"/>
      <w:lvlText w:val="第%1章"/>
      <w:lvlJc w:val="left"/>
      <w:pPr>
        <w:tabs>
          <w:tab w:val="left" w:pos="1440"/>
        </w:tabs>
        <w:ind w:left="0" w:firstLine="0"/>
      </w:pPr>
      <w:rPr>
        <w:rFonts w:hint="eastAsia"/>
      </w:rPr>
    </w:lvl>
    <w:lvl w:ilvl="1" w:tentative="0">
      <w:start w:val="1"/>
      <w:numFmt w:val="decimal"/>
      <w:pStyle w:val="134"/>
      <w:isLgl/>
      <w:lvlText w:val="%1.%2"/>
      <w:lvlJc w:val="left"/>
      <w:pPr>
        <w:tabs>
          <w:tab w:val="left" w:pos="720"/>
        </w:tabs>
        <w:ind w:left="0" w:firstLine="0"/>
      </w:pPr>
      <w:rPr>
        <w:rFonts w:hint="eastAsia"/>
      </w:rPr>
    </w:lvl>
    <w:lvl w:ilvl="2" w:tentative="0">
      <w:start w:val="1"/>
      <w:numFmt w:val="decimal"/>
      <w:pStyle w:val="135"/>
      <w:isLgl/>
      <w:suff w:val="space"/>
      <w:lvlText w:val="%1.%2.%3"/>
      <w:lvlJc w:val="left"/>
      <w:pPr>
        <w:ind w:left="0" w:firstLine="0"/>
      </w:pPr>
      <w:rPr>
        <w:rFonts w:hint="eastAsia"/>
      </w:rPr>
    </w:lvl>
    <w:lvl w:ilvl="3" w:tentative="0">
      <w:start w:val="1"/>
      <w:numFmt w:val="decimal"/>
      <w:lvlText w:val=""/>
      <w:lvlJc w:val="left"/>
      <w:pPr>
        <w:tabs>
          <w:tab w:val="left" w:pos="360"/>
        </w:tabs>
        <w:ind w:left="0" w:firstLine="0"/>
      </w:pPr>
      <w:rPr>
        <w:rFonts w:hint="eastAsia"/>
      </w:rPr>
    </w:lvl>
    <w:lvl w:ilvl="4" w:tentative="0">
      <w:start w:val="1"/>
      <w:numFmt w:val="decimal"/>
      <w:lvlText w:val=""/>
      <w:lvlJc w:val="left"/>
      <w:pPr>
        <w:tabs>
          <w:tab w:val="left" w:pos="360"/>
        </w:tabs>
        <w:ind w:left="0" w:firstLine="0"/>
      </w:pPr>
      <w:rPr>
        <w:rFonts w:hint="eastAsia"/>
      </w:rPr>
    </w:lvl>
    <w:lvl w:ilvl="5" w:tentative="0">
      <w:start w:val="1"/>
      <w:numFmt w:val="decimal"/>
      <w:lvlText w:val=""/>
      <w:lvlJc w:val="left"/>
      <w:pPr>
        <w:tabs>
          <w:tab w:val="left" w:pos="360"/>
        </w:tabs>
        <w:ind w:left="0" w:firstLine="0"/>
      </w:pPr>
      <w:rPr>
        <w:rFonts w:hint="eastAsia"/>
      </w:rPr>
    </w:lvl>
    <w:lvl w:ilvl="6" w:tentative="0">
      <w:start w:val="1"/>
      <w:numFmt w:val="decimal"/>
      <w:lvlText w:val=""/>
      <w:lvlJc w:val="left"/>
      <w:pPr>
        <w:tabs>
          <w:tab w:val="left" w:pos="360"/>
        </w:tabs>
        <w:ind w:left="0" w:firstLine="0"/>
      </w:pPr>
      <w:rPr>
        <w:rFonts w:hint="eastAsia"/>
      </w:rPr>
    </w:lvl>
    <w:lvl w:ilvl="7" w:tentative="0">
      <w:start w:val="1"/>
      <w:numFmt w:val="decimal"/>
      <w:lvlText w:val=""/>
      <w:lvlJc w:val="left"/>
      <w:pPr>
        <w:tabs>
          <w:tab w:val="left" w:pos="360"/>
        </w:tabs>
        <w:ind w:left="0" w:firstLine="0"/>
      </w:pPr>
      <w:rPr>
        <w:rFonts w:hint="eastAsia"/>
      </w:rPr>
    </w:lvl>
    <w:lvl w:ilvl="8" w:tentative="0">
      <w:start w:val="1"/>
      <w:numFmt w:val="decimal"/>
      <w:lvlText w:val=""/>
      <w:lvlJc w:val="left"/>
      <w:pPr>
        <w:tabs>
          <w:tab w:val="left" w:pos="360"/>
        </w:tabs>
        <w:ind w:left="0" w:firstLine="0"/>
      </w:pPr>
      <w:rPr>
        <w:rFonts w:hint="eastAsia"/>
      </w:rPr>
    </w:lvl>
  </w:abstractNum>
  <w:abstractNum w:abstractNumId="7">
    <w:nsid w:val="0A3F3F51"/>
    <w:multiLevelType w:val="multilevel"/>
    <w:tmpl w:val="0A3F3F51"/>
    <w:lvl w:ilvl="0" w:tentative="0">
      <w:start w:val="1"/>
      <w:numFmt w:val="chineseCountingThousand"/>
      <w:suff w:val="nothing"/>
      <w:lvlText w:val="%1、"/>
      <w:lvlJc w:val="left"/>
      <w:pPr>
        <w:ind w:left="312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6AE5335"/>
    <w:multiLevelType w:val="multilevel"/>
    <w:tmpl w:val="16AE5335"/>
    <w:lvl w:ilvl="0" w:tentative="0">
      <w:start w:val="1"/>
      <w:numFmt w:val="decimal"/>
      <w:pStyle w:val="87"/>
      <w:lvlText w:val="图4-%1."/>
      <w:lvlJc w:val="center"/>
      <w:pPr>
        <w:tabs>
          <w:tab w:val="left" w:pos="737"/>
        </w:tabs>
        <w:ind w:left="737" w:hanging="449"/>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1E1C4B"/>
    <w:multiLevelType w:val="multilevel"/>
    <w:tmpl w:val="1A1E1C4B"/>
    <w:lvl w:ilvl="0" w:tentative="0">
      <w:start w:val="1"/>
      <w:numFmt w:val="chineseCountingThousand"/>
      <w:pStyle w:val="91"/>
      <w:lvlText w:val="第%1章"/>
      <w:lvlJc w:val="left"/>
      <w:pPr>
        <w:ind w:left="420" w:hanging="420"/>
      </w:pPr>
      <w:rPr>
        <w:rFonts w:hint="eastAsia"/>
      </w:rPr>
    </w:lvl>
    <w:lvl w:ilvl="1" w:tentative="0">
      <w:start w:val="1"/>
      <w:numFmt w:val="decimal"/>
      <w:lvlText w:val="1.%2"/>
      <w:lvlJc w:val="left"/>
      <w:pPr>
        <w:ind w:left="420" w:hanging="420"/>
      </w:pPr>
      <w:rPr>
        <w:rFonts w:hint="default" w:ascii="Calibri Light" w:hAnsi="Calibri Light" w:eastAsia="宋体" w:cs="Calibri"/>
        <w:sz w:val="32"/>
        <w:szCs w:val="32"/>
      </w:rPr>
    </w:lvl>
    <w:lvl w:ilvl="2" w:tentative="0">
      <w:start w:val="1"/>
      <w:numFmt w:val="decimal"/>
      <w:lvlText w:val="1.1.%3"/>
      <w:lvlJc w:val="left"/>
      <w:pPr>
        <w:ind w:left="420" w:firstLine="147"/>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0866652"/>
    <w:multiLevelType w:val="multilevel"/>
    <w:tmpl w:val="20866652"/>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14624D4"/>
    <w:multiLevelType w:val="multilevel"/>
    <w:tmpl w:val="214624D4"/>
    <w:lvl w:ilvl="0" w:tentative="0">
      <w:start w:val="1"/>
      <w:numFmt w:val="decimal"/>
      <w:lvlText w:val="%1、"/>
      <w:lvlJc w:val="left"/>
      <w:pPr>
        <w:ind w:left="345" w:hanging="3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2FD7025"/>
    <w:multiLevelType w:val="multilevel"/>
    <w:tmpl w:val="22FD7025"/>
    <w:lvl w:ilvl="0" w:tentative="0">
      <w:start w:val="1"/>
      <w:numFmt w:val="chineseCountingThousand"/>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4">
    <w:nsid w:val="24EDB9D0"/>
    <w:multiLevelType w:val="singleLevel"/>
    <w:tmpl w:val="24EDB9D0"/>
    <w:lvl w:ilvl="0" w:tentative="0">
      <w:start w:val="1"/>
      <w:numFmt w:val="decimal"/>
      <w:suff w:val="nothing"/>
      <w:lvlText w:val="%1、"/>
      <w:lvlJc w:val="left"/>
    </w:lvl>
  </w:abstractNum>
  <w:abstractNum w:abstractNumId="15">
    <w:nsid w:val="28200F5E"/>
    <w:multiLevelType w:val="multilevel"/>
    <w:tmpl w:val="28200F5E"/>
    <w:lvl w:ilvl="0" w:tentative="0">
      <w:start w:val="1"/>
      <w:numFmt w:val="decimal"/>
      <w:pStyle w:val="95"/>
      <w:lvlText w:val="%1)"/>
      <w:lvlJc w:val="left"/>
      <w:pPr>
        <w:ind w:left="42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2D2470EB"/>
    <w:multiLevelType w:val="multilevel"/>
    <w:tmpl w:val="2D2470EB"/>
    <w:lvl w:ilvl="0" w:tentative="0">
      <w:start w:val="1"/>
      <w:numFmt w:val="bullet"/>
      <w:lvlText w:val=""/>
      <w:lvlJc w:val="left"/>
      <w:pPr>
        <w:ind w:left="420" w:hanging="420"/>
      </w:pPr>
      <w:rPr>
        <w:rFonts w:hint="default" w:ascii="Wingdings" w:hAnsi="Wingdings"/>
      </w:rPr>
    </w:lvl>
    <w:lvl w:ilvl="1" w:tentative="0">
      <w:start w:val="1"/>
      <w:numFmt w:val="decimal"/>
      <w:pStyle w:val="262"/>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2DF849D3"/>
    <w:multiLevelType w:val="multilevel"/>
    <w:tmpl w:val="2DF849D3"/>
    <w:lvl w:ilvl="0" w:tentative="0">
      <w:start w:val="1"/>
      <w:numFmt w:val="chineseCountingThousand"/>
      <w:suff w:val="nothing"/>
      <w:lvlText w:val="%1、"/>
      <w:lvlJc w:val="left"/>
      <w:pPr>
        <w:ind w:left="420" w:hanging="420"/>
      </w:pPr>
      <w:rPr>
        <w:rFonts w:hint="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2E8F6958"/>
    <w:multiLevelType w:val="multilevel"/>
    <w:tmpl w:val="2E8F6958"/>
    <w:lvl w:ilvl="0" w:tentative="0">
      <w:start w:val="1"/>
      <w:numFmt w:val="decimal"/>
      <w:pStyle w:val="24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9">
    <w:nsid w:val="30555EAE"/>
    <w:multiLevelType w:val="multilevel"/>
    <w:tmpl w:val="30555EAE"/>
    <w:lvl w:ilvl="0" w:tentative="0">
      <w:start w:val="1"/>
      <w:numFmt w:val="decimal"/>
      <w:lvlText w:val="%1."/>
      <w:lvlJc w:val="left"/>
      <w:pPr>
        <w:tabs>
          <w:tab w:val="left" w:pos="420"/>
        </w:tabs>
        <w:ind w:left="0" w:firstLine="420"/>
      </w:pPr>
      <w:rPr>
        <w:rFonts w:hint="eastAsia"/>
      </w:rPr>
    </w:lvl>
    <w:lvl w:ilvl="1" w:tentative="0">
      <w:start w:val="1"/>
      <w:numFmt w:val="decimal"/>
      <w:lvlText w:val="(%2)"/>
      <w:lvlJc w:val="left"/>
      <w:pPr>
        <w:tabs>
          <w:tab w:val="left" w:pos="420"/>
        </w:tabs>
        <w:ind w:left="800" w:hanging="380"/>
      </w:pPr>
      <w:rPr>
        <w:rFonts w:hint="eastAsia"/>
      </w:rPr>
    </w:lvl>
    <w:lvl w:ilvl="2" w:tentative="0">
      <w:start w:val="1"/>
      <w:numFmt w:val="none"/>
      <w:lvlText w:val=""/>
      <w:lvlJc w:val="left"/>
      <w:pPr>
        <w:tabs>
          <w:tab w:val="left" w:pos="-328"/>
        </w:tabs>
        <w:ind w:left="-1462" w:firstLine="400"/>
      </w:pPr>
      <w:rPr>
        <w:rFonts w:hint="eastAsia"/>
      </w:rPr>
    </w:lvl>
    <w:lvl w:ilvl="3" w:tentative="0">
      <w:start w:val="1"/>
      <w:numFmt w:val="none"/>
      <w:lvlText w:val=""/>
      <w:lvlJc w:val="left"/>
      <w:pPr>
        <w:tabs>
          <w:tab w:val="left" w:pos="-1059"/>
        </w:tabs>
        <w:ind w:left="-2193" w:firstLine="400"/>
      </w:pPr>
      <w:rPr>
        <w:rFonts w:hint="eastAsia"/>
      </w:rPr>
    </w:lvl>
    <w:lvl w:ilvl="4" w:tentative="0">
      <w:start w:val="1"/>
      <w:numFmt w:val="none"/>
      <w:lvlText w:val=""/>
      <w:lvlJc w:val="left"/>
      <w:pPr>
        <w:tabs>
          <w:tab w:val="left" w:pos="-1790"/>
        </w:tabs>
        <w:ind w:left="-2924" w:firstLine="400"/>
      </w:pPr>
      <w:rPr>
        <w:rFonts w:hint="eastAsia"/>
      </w:rPr>
    </w:lvl>
    <w:lvl w:ilvl="5" w:tentative="0">
      <w:start w:val="1"/>
      <w:numFmt w:val="decimal"/>
      <w:lvlText w:val="%1.%2.%3.%4.%5.%6"/>
      <w:lvlJc w:val="left"/>
      <w:pPr>
        <w:tabs>
          <w:tab w:val="left" w:pos="-2521"/>
        </w:tabs>
        <w:ind w:left="-3655" w:firstLine="400"/>
      </w:pPr>
      <w:rPr>
        <w:rFonts w:hint="eastAsia"/>
      </w:rPr>
    </w:lvl>
    <w:lvl w:ilvl="6" w:tentative="0">
      <w:start w:val="1"/>
      <w:numFmt w:val="decimal"/>
      <w:lvlText w:val="%1.%2.%3.%4.%5.%6.%7"/>
      <w:lvlJc w:val="left"/>
      <w:pPr>
        <w:tabs>
          <w:tab w:val="left" w:pos="-3252"/>
        </w:tabs>
        <w:ind w:left="-4386" w:firstLine="400"/>
      </w:pPr>
      <w:rPr>
        <w:rFonts w:hint="eastAsia"/>
      </w:rPr>
    </w:lvl>
    <w:lvl w:ilvl="7" w:tentative="0">
      <w:start w:val="1"/>
      <w:numFmt w:val="decimal"/>
      <w:lvlText w:val="%1.%2.%3.%4.%5.%6.%7.%8"/>
      <w:lvlJc w:val="left"/>
      <w:pPr>
        <w:tabs>
          <w:tab w:val="left" w:pos="-3983"/>
        </w:tabs>
        <w:ind w:left="-5117" w:firstLine="400"/>
      </w:pPr>
      <w:rPr>
        <w:rFonts w:hint="eastAsia"/>
      </w:rPr>
    </w:lvl>
    <w:lvl w:ilvl="8" w:tentative="0">
      <w:start w:val="1"/>
      <w:numFmt w:val="decimal"/>
      <w:lvlText w:val="%1.%2.%3.%4.%5.%6.%7.%8.%9"/>
      <w:lvlJc w:val="left"/>
      <w:pPr>
        <w:tabs>
          <w:tab w:val="left" w:pos="-4714"/>
        </w:tabs>
        <w:ind w:left="-5848" w:firstLine="400"/>
      </w:pPr>
      <w:rPr>
        <w:rFonts w:hint="eastAsia"/>
      </w:rPr>
    </w:lvl>
  </w:abstractNum>
  <w:abstractNum w:abstractNumId="20">
    <w:nsid w:val="37D3508F"/>
    <w:multiLevelType w:val="multilevel"/>
    <w:tmpl w:val="37D3508F"/>
    <w:lvl w:ilvl="0" w:tentative="0">
      <w:start w:val="5"/>
      <w:numFmt w:val="decimal"/>
      <w:lvlText w:val="%1"/>
      <w:lvlJc w:val="left"/>
      <w:pPr>
        <w:tabs>
          <w:tab w:val="left" w:pos="425"/>
        </w:tabs>
        <w:ind w:left="425" w:hanging="425"/>
      </w:pPr>
      <w:rPr>
        <w:rFonts w:hint="eastAsia"/>
      </w:rPr>
    </w:lvl>
    <w:lvl w:ilvl="1" w:tentative="0">
      <w:start w:val="1"/>
      <w:numFmt w:val="decimal"/>
      <w:pStyle w:val="86"/>
      <w:lvlText w:val="%1.%2"/>
      <w:lvlJc w:val="left"/>
      <w:pPr>
        <w:tabs>
          <w:tab w:val="left" w:pos="510"/>
        </w:tabs>
        <w:ind w:left="420" w:hanging="42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3C287EEF"/>
    <w:multiLevelType w:val="multilevel"/>
    <w:tmpl w:val="3C287EEF"/>
    <w:lvl w:ilvl="0" w:tentative="0">
      <w:start w:val="1"/>
      <w:numFmt w:val="decimal"/>
      <w:pStyle w:val="259"/>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0996421"/>
    <w:multiLevelType w:val="multilevel"/>
    <w:tmpl w:val="40996421"/>
    <w:lvl w:ilvl="0" w:tentative="0">
      <w:start w:val="1"/>
      <w:numFmt w:val="decimal"/>
      <w:lvlText w:val="%1、"/>
      <w:lvlJc w:val="left"/>
      <w:pPr>
        <w:ind w:left="360" w:hanging="360"/>
      </w:pPr>
      <w:rPr>
        <w:rFonts w:ascii="宋体" w:hAnsi="宋体" w:eastAsiaTheme="minorEastAsia"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5DC5BFE"/>
    <w:multiLevelType w:val="multilevel"/>
    <w:tmpl w:val="45DC5BFE"/>
    <w:lvl w:ilvl="0" w:tentative="0">
      <w:start w:val="1"/>
      <w:numFmt w:val="decimal"/>
      <w:lvlText w:val="%1)"/>
      <w:lvlJc w:val="left"/>
      <w:pPr>
        <w:ind w:left="840" w:hanging="420"/>
      </w:pPr>
    </w:lvl>
    <w:lvl w:ilvl="1" w:tentative="0">
      <w:start w:val="1"/>
      <w:numFmt w:val="japaneseCounting"/>
      <w:lvlText w:val="%2、"/>
      <w:lvlJc w:val="left"/>
      <w:pPr>
        <w:tabs>
          <w:tab w:val="left" w:pos="1320"/>
        </w:tabs>
        <w:ind w:left="1320" w:hanging="48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suff w:val="nothing"/>
      <w:lvlText w:val="%2．"/>
      <w:lvlJc w:val="left"/>
      <w:pPr>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25">
    <w:nsid w:val="4CAA55CD"/>
    <w:multiLevelType w:val="multilevel"/>
    <w:tmpl w:val="4CAA55CD"/>
    <w:lvl w:ilvl="0" w:tentative="0">
      <w:start w:val="1"/>
      <w:numFmt w:val="bullet"/>
      <w:pStyle w:val="14"/>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6">
    <w:nsid w:val="570941F9"/>
    <w:multiLevelType w:val="multilevel"/>
    <w:tmpl w:val="570941F9"/>
    <w:lvl w:ilvl="0" w:tentative="0">
      <w:start w:val="1"/>
      <w:numFmt w:val="decimal"/>
      <w:pStyle w:val="138"/>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5D4A37DC"/>
    <w:multiLevelType w:val="multilevel"/>
    <w:tmpl w:val="5D4A37DC"/>
    <w:lvl w:ilvl="0" w:tentative="0">
      <w:start w:val="1"/>
      <w:numFmt w:val="decimal"/>
      <w:pStyle w:val="249"/>
      <w:lvlText w:val="%1)"/>
      <w:lvlJc w:val="left"/>
      <w:pPr>
        <w:ind w:left="982" w:hanging="420"/>
      </w:pPr>
    </w:lvl>
    <w:lvl w:ilvl="1" w:tentative="0">
      <w:start w:val="1"/>
      <w:numFmt w:val="lowerLetter"/>
      <w:pStyle w:val="246"/>
      <w:lvlText w:val="%2)"/>
      <w:lvlJc w:val="left"/>
      <w:pPr>
        <w:ind w:left="1402" w:hanging="420"/>
      </w:pPr>
    </w:lvl>
    <w:lvl w:ilvl="2" w:tentative="0">
      <w:start w:val="1"/>
      <w:numFmt w:val="lowerRoman"/>
      <w:pStyle w:val="247"/>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8">
    <w:nsid w:val="5F8239D3"/>
    <w:multiLevelType w:val="singleLevel"/>
    <w:tmpl w:val="5F8239D3"/>
    <w:lvl w:ilvl="0" w:tentative="0">
      <w:start w:val="1"/>
      <w:numFmt w:val="bullet"/>
      <w:pStyle w:val="161"/>
      <w:lvlText w:val=""/>
      <w:lvlJc w:val="left"/>
      <w:pPr>
        <w:tabs>
          <w:tab w:val="left" w:pos="360"/>
        </w:tabs>
        <w:ind w:left="360" w:hanging="360"/>
      </w:pPr>
      <w:rPr>
        <w:rFonts w:hint="default" w:ascii="Wingdings" w:hAnsi="Wingdings"/>
      </w:rPr>
    </w:lvl>
  </w:abstractNum>
  <w:abstractNum w:abstractNumId="29">
    <w:nsid w:val="64253DA1"/>
    <w:multiLevelType w:val="multilevel"/>
    <w:tmpl w:val="64253DA1"/>
    <w:lvl w:ilvl="0" w:tentative="0">
      <w:start w:val="1"/>
      <w:numFmt w:val="decimal"/>
      <w:suff w:val="nothing"/>
      <w:lvlText w:val="%1"/>
      <w:lvlJc w:val="left"/>
      <w:pPr>
        <w:ind w:left="596" w:hanging="420"/>
      </w:pPr>
      <w:rPr>
        <w:rFonts w:hint="eastAsia"/>
      </w:rPr>
    </w:lvl>
    <w:lvl w:ilvl="1" w:tentative="0">
      <w:start w:val="1"/>
      <w:numFmt w:val="lowerLetter"/>
      <w:lvlText w:val="%2)"/>
      <w:lvlJc w:val="left"/>
      <w:pPr>
        <w:tabs>
          <w:tab w:val="left" w:pos="1016"/>
        </w:tabs>
        <w:ind w:left="1016" w:hanging="420"/>
      </w:pPr>
      <w:rPr>
        <w:rFonts w:hint="eastAsia"/>
      </w:rPr>
    </w:lvl>
    <w:lvl w:ilvl="2" w:tentative="0">
      <w:start w:val="1"/>
      <w:numFmt w:val="lowerRoman"/>
      <w:lvlText w:val="%3."/>
      <w:lvlJc w:val="right"/>
      <w:pPr>
        <w:tabs>
          <w:tab w:val="left" w:pos="1436"/>
        </w:tabs>
        <w:ind w:left="1436" w:hanging="420"/>
      </w:pPr>
      <w:rPr>
        <w:rFonts w:hint="eastAsia"/>
      </w:rPr>
    </w:lvl>
    <w:lvl w:ilvl="3" w:tentative="0">
      <w:start w:val="1"/>
      <w:numFmt w:val="decimal"/>
      <w:lvlText w:val="%4."/>
      <w:lvlJc w:val="left"/>
      <w:pPr>
        <w:tabs>
          <w:tab w:val="left" w:pos="1856"/>
        </w:tabs>
        <w:ind w:left="1856" w:hanging="420"/>
      </w:pPr>
      <w:rPr>
        <w:rFonts w:hint="eastAsia"/>
      </w:rPr>
    </w:lvl>
    <w:lvl w:ilvl="4" w:tentative="0">
      <w:start w:val="1"/>
      <w:numFmt w:val="lowerLetter"/>
      <w:lvlText w:val="%5)"/>
      <w:lvlJc w:val="left"/>
      <w:pPr>
        <w:tabs>
          <w:tab w:val="left" w:pos="2276"/>
        </w:tabs>
        <w:ind w:left="2276" w:hanging="420"/>
      </w:pPr>
      <w:rPr>
        <w:rFonts w:hint="eastAsia"/>
      </w:rPr>
    </w:lvl>
    <w:lvl w:ilvl="5" w:tentative="0">
      <w:start w:val="1"/>
      <w:numFmt w:val="lowerRoman"/>
      <w:lvlText w:val="%6."/>
      <w:lvlJc w:val="right"/>
      <w:pPr>
        <w:tabs>
          <w:tab w:val="left" w:pos="2696"/>
        </w:tabs>
        <w:ind w:left="2696" w:hanging="420"/>
      </w:pPr>
      <w:rPr>
        <w:rFonts w:hint="eastAsia"/>
      </w:rPr>
    </w:lvl>
    <w:lvl w:ilvl="6" w:tentative="0">
      <w:start w:val="1"/>
      <w:numFmt w:val="decimal"/>
      <w:lvlText w:val="%7."/>
      <w:lvlJc w:val="left"/>
      <w:pPr>
        <w:tabs>
          <w:tab w:val="left" w:pos="3116"/>
        </w:tabs>
        <w:ind w:left="3116" w:hanging="420"/>
      </w:pPr>
      <w:rPr>
        <w:rFonts w:hint="eastAsia"/>
      </w:rPr>
    </w:lvl>
    <w:lvl w:ilvl="7" w:tentative="0">
      <w:start w:val="1"/>
      <w:numFmt w:val="lowerLetter"/>
      <w:lvlText w:val="%8)"/>
      <w:lvlJc w:val="left"/>
      <w:pPr>
        <w:tabs>
          <w:tab w:val="left" w:pos="3536"/>
        </w:tabs>
        <w:ind w:left="3536" w:hanging="420"/>
      </w:pPr>
      <w:rPr>
        <w:rFonts w:hint="eastAsia"/>
      </w:rPr>
    </w:lvl>
    <w:lvl w:ilvl="8" w:tentative="0">
      <w:start w:val="1"/>
      <w:numFmt w:val="lowerRoman"/>
      <w:lvlText w:val="%9."/>
      <w:lvlJc w:val="right"/>
      <w:pPr>
        <w:tabs>
          <w:tab w:val="left" w:pos="3956"/>
        </w:tabs>
        <w:ind w:left="3956" w:hanging="420"/>
      </w:pPr>
      <w:rPr>
        <w:rFonts w:hint="eastAsia"/>
      </w:rPr>
    </w:lvl>
  </w:abstractNum>
  <w:abstractNum w:abstractNumId="30">
    <w:nsid w:val="682F2EA2"/>
    <w:multiLevelType w:val="multilevel"/>
    <w:tmpl w:val="682F2EA2"/>
    <w:lvl w:ilvl="0" w:tentative="0">
      <w:start w:val="1"/>
      <w:numFmt w:val="chineseCountingThousand"/>
      <w:pStyle w:val="229"/>
      <w:lvlText w:val="第%1章"/>
      <w:lvlJc w:val="left"/>
      <w:pPr>
        <w:tabs>
          <w:tab w:val="left" w:pos="340"/>
        </w:tabs>
        <w:ind w:left="0" w:firstLine="0"/>
      </w:pPr>
      <w:rPr>
        <w:rFonts w:hint="eastAsia"/>
      </w:rPr>
    </w:lvl>
    <w:lvl w:ilvl="1" w:tentative="0">
      <w:start w:val="1"/>
      <w:numFmt w:val="decimal"/>
      <w:pStyle w:val="230"/>
      <w:isLgl/>
      <w:suff w:val="space"/>
      <w:lvlText w:val="%1.%2"/>
      <w:lvlJc w:val="left"/>
      <w:pPr>
        <w:ind w:left="0" w:firstLine="0"/>
      </w:pPr>
      <w:rPr>
        <w:rFonts w:hint="eastAsia"/>
      </w:rPr>
    </w:lvl>
    <w:lvl w:ilvl="2" w:tentative="0">
      <w:start w:val="1"/>
      <w:numFmt w:val="decimal"/>
      <w:pStyle w:val="232"/>
      <w:isLgl/>
      <w:suff w:val="space"/>
      <w:lvlText w:val="%1.%2.%3"/>
      <w:lvlJc w:val="left"/>
      <w:pPr>
        <w:ind w:left="0" w:firstLine="0"/>
      </w:pPr>
      <w:rPr>
        <w:rFonts w:hint="eastAsia"/>
      </w:rPr>
    </w:lvl>
    <w:lvl w:ilvl="3" w:tentative="0">
      <w:start w:val="1"/>
      <w:numFmt w:val="decimal"/>
      <w:pStyle w:val="234"/>
      <w:isLgl/>
      <w:suff w:val="space"/>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pStyle w:val="236"/>
      <w:isLg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1">
    <w:nsid w:val="697D297F"/>
    <w:multiLevelType w:val="multilevel"/>
    <w:tmpl w:val="697D297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D314D68"/>
    <w:multiLevelType w:val="multilevel"/>
    <w:tmpl w:val="6D314D68"/>
    <w:lvl w:ilvl="0" w:tentative="0">
      <w:start w:val="1"/>
      <w:numFmt w:val="decimal"/>
      <w:pStyle w:val="254"/>
      <w:lvlText w:val="%1)"/>
      <w:lvlJc w:val="left"/>
      <w:pPr>
        <w:ind w:left="980"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3">
    <w:nsid w:val="734F656C"/>
    <w:multiLevelType w:val="multilevel"/>
    <w:tmpl w:val="734F656C"/>
    <w:lvl w:ilvl="0" w:tentative="0">
      <w:start w:val="1"/>
      <w:numFmt w:val="decimal"/>
      <w:suff w:val="nothing"/>
      <w:lvlText w:val="%1"/>
      <w:lvlJc w:val="left"/>
      <w:pPr>
        <w:ind w:left="846"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B0E2BCA"/>
    <w:multiLevelType w:val="multilevel"/>
    <w:tmpl w:val="7B0E2BCA"/>
    <w:lvl w:ilvl="0" w:tentative="0">
      <w:start w:val="1"/>
      <w:numFmt w:val="bullet"/>
      <w:pStyle w:val="12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7DD51E1B"/>
    <w:multiLevelType w:val="multilevel"/>
    <w:tmpl w:val="7DD51E1B"/>
    <w:lvl w:ilvl="0" w:tentative="0">
      <w:start w:val="1"/>
      <w:numFmt w:val="decimal"/>
      <w:pStyle w:val="219"/>
      <w:suff w:val="space"/>
      <w:lvlText w:val="%1"/>
      <w:lvlJc w:val="left"/>
      <w:pPr>
        <w:ind w:left="0" w:firstLine="0"/>
      </w:pPr>
      <w:rPr>
        <w:rFonts w:hint="eastAsia"/>
      </w:rPr>
    </w:lvl>
    <w:lvl w:ilvl="1" w:tentative="0">
      <w:start w:val="1"/>
      <w:numFmt w:val="decimal"/>
      <w:pStyle w:val="221"/>
      <w:suff w:val="space"/>
      <w:lvlText w:val="%1.%2"/>
      <w:lvlJc w:val="left"/>
      <w:pPr>
        <w:ind w:left="0" w:firstLine="0"/>
      </w:pPr>
      <w:rPr>
        <w:rFonts w:hint="eastAsia"/>
      </w:rPr>
    </w:lvl>
    <w:lvl w:ilvl="2" w:tentative="0">
      <w:start w:val="1"/>
      <w:numFmt w:val="decimal"/>
      <w:pStyle w:val="223"/>
      <w:suff w:val="space"/>
      <w:lvlText w:val="%1.%2.%3"/>
      <w:lvlJc w:val="left"/>
      <w:pPr>
        <w:ind w:left="0" w:firstLine="0"/>
      </w:pPr>
      <w:rPr>
        <w:rFonts w:hint="eastAsia"/>
      </w:rPr>
    </w:lvl>
    <w:lvl w:ilvl="3" w:tentative="0">
      <w:start w:val="1"/>
      <w:numFmt w:val="decimal"/>
      <w:pStyle w:val="225"/>
      <w:suff w:val="space"/>
      <w:lvlText w:val="%1.%2.%3.%4"/>
      <w:lvlJc w:val="left"/>
      <w:pPr>
        <w:ind w:left="0" w:firstLine="0"/>
      </w:pPr>
      <w:rPr>
        <w:rFonts w:hint="eastAsia"/>
      </w:rPr>
    </w:lvl>
    <w:lvl w:ilvl="4" w:tentative="0">
      <w:start w:val="1"/>
      <w:numFmt w:val="decimal"/>
      <w:pStyle w:val="227"/>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5"/>
  </w:num>
  <w:num w:numId="2">
    <w:abstractNumId w:val="20"/>
  </w:num>
  <w:num w:numId="3">
    <w:abstractNumId w:val="8"/>
  </w:num>
  <w:num w:numId="4">
    <w:abstractNumId w:val="9"/>
  </w:num>
  <w:num w:numId="5">
    <w:abstractNumId w:val="5"/>
  </w:num>
  <w:num w:numId="6">
    <w:abstractNumId w:val="15"/>
  </w:num>
  <w:num w:numId="7">
    <w:abstractNumId w:val="19"/>
    <w:lvlOverride w:ilvl="0">
      <w:lvl w:ilvl="0" w:tentative="1">
        <w:start w:val="1"/>
        <w:numFmt w:val="decimal"/>
        <w:pStyle w:val="115"/>
        <w:lvlText w:val="%1."/>
        <w:lvlJc w:val="left"/>
        <w:pPr>
          <w:tabs>
            <w:tab w:val="left" w:pos="420"/>
          </w:tabs>
          <w:ind w:left="0" w:firstLine="420"/>
        </w:pPr>
        <w:rPr>
          <w:rFonts w:hint="eastAsia"/>
        </w:rPr>
      </w:lvl>
    </w:lvlOverride>
    <w:lvlOverride w:ilvl="1">
      <w:lvl w:ilvl="1" w:tentative="1">
        <w:start w:val="1"/>
        <w:numFmt w:val="decimal"/>
        <w:pStyle w:val="116"/>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3"/>
  </w:num>
  <w:num w:numId="9">
    <w:abstractNumId w:val="34"/>
  </w:num>
  <w:num w:numId="10">
    <w:abstractNumId w:val="6"/>
  </w:num>
  <w:num w:numId="11">
    <w:abstractNumId w:val="26"/>
  </w:num>
  <w:num w:numId="12">
    <w:abstractNumId w:val="28"/>
  </w:num>
  <w:num w:numId="13">
    <w:abstractNumId w:val="4"/>
  </w:num>
  <w:num w:numId="14">
    <w:abstractNumId w:val="35"/>
  </w:num>
  <w:num w:numId="15">
    <w:abstractNumId w:val="30"/>
  </w:num>
  <w:num w:numId="16">
    <w:abstractNumId w:val="18"/>
  </w:num>
  <w:num w:numId="17">
    <w:abstractNumId w:val="27"/>
  </w:num>
  <w:num w:numId="18">
    <w:abstractNumId w:val="32"/>
  </w:num>
  <w:num w:numId="19">
    <w:abstractNumId w:val="21"/>
  </w:num>
  <w:num w:numId="20">
    <w:abstractNumId w:val="16"/>
  </w:num>
  <w:num w:numId="21">
    <w:abstractNumId w:val="33"/>
  </w:num>
  <w:num w:numId="22">
    <w:abstractNumId w:val="29"/>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1"/>
  </w:num>
  <w:num w:numId="26">
    <w:abstractNumId w:val="0"/>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2"/>
  </w:num>
  <w:num w:numId="31">
    <w:abstractNumId w:val="1"/>
  </w:num>
  <w:num w:numId="32">
    <w:abstractNumId w:val="17"/>
  </w:num>
  <w:num w:numId="33">
    <w:abstractNumId w:val="7"/>
  </w:num>
  <w:num w:numId="34">
    <w:abstractNumId w:val="12"/>
  </w:num>
  <w:num w:numId="35">
    <w:abstractNumId w:val="1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41"/>
    <w:rsid w:val="00000AFB"/>
    <w:rsid w:val="00000DA4"/>
    <w:rsid w:val="0000145B"/>
    <w:rsid w:val="000014DA"/>
    <w:rsid w:val="0000159C"/>
    <w:rsid w:val="000015FD"/>
    <w:rsid w:val="00001AEA"/>
    <w:rsid w:val="00001BB5"/>
    <w:rsid w:val="00001CE0"/>
    <w:rsid w:val="00002C5F"/>
    <w:rsid w:val="00002F9F"/>
    <w:rsid w:val="0000306D"/>
    <w:rsid w:val="00003085"/>
    <w:rsid w:val="000036F7"/>
    <w:rsid w:val="000038EB"/>
    <w:rsid w:val="00003CC2"/>
    <w:rsid w:val="00004161"/>
    <w:rsid w:val="00004251"/>
    <w:rsid w:val="00004FCD"/>
    <w:rsid w:val="00005215"/>
    <w:rsid w:val="00005A10"/>
    <w:rsid w:val="00005AB7"/>
    <w:rsid w:val="00005AFC"/>
    <w:rsid w:val="00006D66"/>
    <w:rsid w:val="00007964"/>
    <w:rsid w:val="00010102"/>
    <w:rsid w:val="00010C00"/>
    <w:rsid w:val="000112DC"/>
    <w:rsid w:val="0001175B"/>
    <w:rsid w:val="000123F9"/>
    <w:rsid w:val="000124E2"/>
    <w:rsid w:val="000125F8"/>
    <w:rsid w:val="0001275D"/>
    <w:rsid w:val="00012C0A"/>
    <w:rsid w:val="0001457B"/>
    <w:rsid w:val="00014E10"/>
    <w:rsid w:val="00014F58"/>
    <w:rsid w:val="000151D5"/>
    <w:rsid w:val="000154D8"/>
    <w:rsid w:val="00015968"/>
    <w:rsid w:val="00015E98"/>
    <w:rsid w:val="00015F4B"/>
    <w:rsid w:val="0001610E"/>
    <w:rsid w:val="0001634A"/>
    <w:rsid w:val="00016D58"/>
    <w:rsid w:val="00017112"/>
    <w:rsid w:val="0001716B"/>
    <w:rsid w:val="0001792D"/>
    <w:rsid w:val="0001794C"/>
    <w:rsid w:val="00017C15"/>
    <w:rsid w:val="00020321"/>
    <w:rsid w:val="00020B36"/>
    <w:rsid w:val="000211EA"/>
    <w:rsid w:val="0002152F"/>
    <w:rsid w:val="000218B0"/>
    <w:rsid w:val="00022196"/>
    <w:rsid w:val="000223E5"/>
    <w:rsid w:val="00022B27"/>
    <w:rsid w:val="00022E0C"/>
    <w:rsid w:val="00022E19"/>
    <w:rsid w:val="000234B2"/>
    <w:rsid w:val="0002355C"/>
    <w:rsid w:val="0002382E"/>
    <w:rsid w:val="0002401D"/>
    <w:rsid w:val="000242CF"/>
    <w:rsid w:val="000244E1"/>
    <w:rsid w:val="000245FE"/>
    <w:rsid w:val="000252D1"/>
    <w:rsid w:val="00025673"/>
    <w:rsid w:val="00025E39"/>
    <w:rsid w:val="00026596"/>
    <w:rsid w:val="00026A09"/>
    <w:rsid w:val="0003072D"/>
    <w:rsid w:val="000307E2"/>
    <w:rsid w:val="0003148B"/>
    <w:rsid w:val="0003163D"/>
    <w:rsid w:val="00031700"/>
    <w:rsid w:val="00031E25"/>
    <w:rsid w:val="00031F18"/>
    <w:rsid w:val="00031F6E"/>
    <w:rsid w:val="00032090"/>
    <w:rsid w:val="000325A7"/>
    <w:rsid w:val="0003373D"/>
    <w:rsid w:val="00033B7B"/>
    <w:rsid w:val="000343AB"/>
    <w:rsid w:val="00034B41"/>
    <w:rsid w:val="0003503F"/>
    <w:rsid w:val="000359C1"/>
    <w:rsid w:val="0003617B"/>
    <w:rsid w:val="000372DD"/>
    <w:rsid w:val="000377F6"/>
    <w:rsid w:val="00037F52"/>
    <w:rsid w:val="00037F54"/>
    <w:rsid w:val="0004000A"/>
    <w:rsid w:val="0004001C"/>
    <w:rsid w:val="000401D1"/>
    <w:rsid w:val="00040D3C"/>
    <w:rsid w:val="0004120F"/>
    <w:rsid w:val="00041B72"/>
    <w:rsid w:val="00041B9A"/>
    <w:rsid w:val="00041E1A"/>
    <w:rsid w:val="00043131"/>
    <w:rsid w:val="00043A7B"/>
    <w:rsid w:val="00043A89"/>
    <w:rsid w:val="00044204"/>
    <w:rsid w:val="00044591"/>
    <w:rsid w:val="00044926"/>
    <w:rsid w:val="00044E2A"/>
    <w:rsid w:val="00045157"/>
    <w:rsid w:val="00045720"/>
    <w:rsid w:val="00045739"/>
    <w:rsid w:val="00045AD6"/>
    <w:rsid w:val="00045D2B"/>
    <w:rsid w:val="0004692C"/>
    <w:rsid w:val="00047A06"/>
    <w:rsid w:val="000500A8"/>
    <w:rsid w:val="000510B6"/>
    <w:rsid w:val="00051C09"/>
    <w:rsid w:val="00051D3E"/>
    <w:rsid w:val="00051F3F"/>
    <w:rsid w:val="00052BC1"/>
    <w:rsid w:val="00053715"/>
    <w:rsid w:val="0005381C"/>
    <w:rsid w:val="000538BE"/>
    <w:rsid w:val="00053A25"/>
    <w:rsid w:val="00055014"/>
    <w:rsid w:val="000557BC"/>
    <w:rsid w:val="0005582B"/>
    <w:rsid w:val="00055892"/>
    <w:rsid w:val="00055C4B"/>
    <w:rsid w:val="000566D1"/>
    <w:rsid w:val="0005677F"/>
    <w:rsid w:val="00056E39"/>
    <w:rsid w:val="00057332"/>
    <w:rsid w:val="000601F6"/>
    <w:rsid w:val="000602D1"/>
    <w:rsid w:val="00060346"/>
    <w:rsid w:val="00060828"/>
    <w:rsid w:val="00060E5A"/>
    <w:rsid w:val="0006171E"/>
    <w:rsid w:val="00061BBA"/>
    <w:rsid w:val="00061DCB"/>
    <w:rsid w:val="000625CA"/>
    <w:rsid w:val="0006267A"/>
    <w:rsid w:val="00062882"/>
    <w:rsid w:val="00062BA0"/>
    <w:rsid w:val="00062C42"/>
    <w:rsid w:val="00063131"/>
    <w:rsid w:val="000638A2"/>
    <w:rsid w:val="000638E3"/>
    <w:rsid w:val="00063CD3"/>
    <w:rsid w:val="00063F40"/>
    <w:rsid w:val="00063FD9"/>
    <w:rsid w:val="0006640B"/>
    <w:rsid w:val="0006670C"/>
    <w:rsid w:val="000668A8"/>
    <w:rsid w:val="00067A02"/>
    <w:rsid w:val="00067B7F"/>
    <w:rsid w:val="00067D5E"/>
    <w:rsid w:val="00070409"/>
    <w:rsid w:val="0007051D"/>
    <w:rsid w:val="00070736"/>
    <w:rsid w:val="000709E4"/>
    <w:rsid w:val="00071878"/>
    <w:rsid w:val="00071E1B"/>
    <w:rsid w:val="00073180"/>
    <w:rsid w:val="000738F2"/>
    <w:rsid w:val="0007455E"/>
    <w:rsid w:val="000745AD"/>
    <w:rsid w:val="00074662"/>
    <w:rsid w:val="00074870"/>
    <w:rsid w:val="000749AF"/>
    <w:rsid w:val="00075086"/>
    <w:rsid w:val="000750DC"/>
    <w:rsid w:val="0007542D"/>
    <w:rsid w:val="00075C4A"/>
    <w:rsid w:val="00077188"/>
    <w:rsid w:val="000804FA"/>
    <w:rsid w:val="000809EC"/>
    <w:rsid w:val="0008103C"/>
    <w:rsid w:val="000811DA"/>
    <w:rsid w:val="00081A6E"/>
    <w:rsid w:val="00082667"/>
    <w:rsid w:val="00083AAF"/>
    <w:rsid w:val="00083DC6"/>
    <w:rsid w:val="000847ED"/>
    <w:rsid w:val="00085023"/>
    <w:rsid w:val="00085592"/>
    <w:rsid w:val="00085624"/>
    <w:rsid w:val="000862AC"/>
    <w:rsid w:val="000869D8"/>
    <w:rsid w:val="00086C4F"/>
    <w:rsid w:val="0008702E"/>
    <w:rsid w:val="00087A08"/>
    <w:rsid w:val="00091179"/>
    <w:rsid w:val="0009141A"/>
    <w:rsid w:val="000924E5"/>
    <w:rsid w:val="00092590"/>
    <w:rsid w:val="0009269A"/>
    <w:rsid w:val="000927D9"/>
    <w:rsid w:val="00092CD0"/>
    <w:rsid w:val="00092FC7"/>
    <w:rsid w:val="00093003"/>
    <w:rsid w:val="00094AA4"/>
    <w:rsid w:val="00094BAA"/>
    <w:rsid w:val="00094EB7"/>
    <w:rsid w:val="000950A7"/>
    <w:rsid w:val="00095480"/>
    <w:rsid w:val="000954D5"/>
    <w:rsid w:val="00095778"/>
    <w:rsid w:val="0009618D"/>
    <w:rsid w:val="000961F2"/>
    <w:rsid w:val="00096AAC"/>
    <w:rsid w:val="00096DC4"/>
    <w:rsid w:val="0009709B"/>
    <w:rsid w:val="0009778F"/>
    <w:rsid w:val="000A0441"/>
    <w:rsid w:val="000A05B3"/>
    <w:rsid w:val="000A05DC"/>
    <w:rsid w:val="000A0B8E"/>
    <w:rsid w:val="000A0C3E"/>
    <w:rsid w:val="000A21E9"/>
    <w:rsid w:val="000A28E2"/>
    <w:rsid w:val="000A2927"/>
    <w:rsid w:val="000A2C6D"/>
    <w:rsid w:val="000A48A7"/>
    <w:rsid w:val="000A4FD0"/>
    <w:rsid w:val="000A599B"/>
    <w:rsid w:val="000A6EE8"/>
    <w:rsid w:val="000A6F39"/>
    <w:rsid w:val="000A709B"/>
    <w:rsid w:val="000A7241"/>
    <w:rsid w:val="000B02C2"/>
    <w:rsid w:val="000B05E2"/>
    <w:rsid w:val="000B11E0"/>
    <w:rsid w:val="000B15A6"/>
    <w:rsid w:val="000B19A9"/>
    <w:rsid w:val="000B2568"/>
    <w:rsid w:val="000B2BB0"/>
    <w:rsid w:val="000B381C"/>
    <w:rsid w:val="000B428A"/>
    <w:rsid w:val="000B44C8"/>
    <w:rsid w:val="000B4591"/>
    <w:rsid w:val="000B46FF"/>
    <w:rsid w:val="000B5447"/>
    <w:rsid w:val="000B56CC"/>
    <w:rsid w:val="000B6961"/>
    <w:rsid w:val="000B69EB"/>
    <w:rsid w:val="000B6B59"/>
    <w:rsid w:val="000B6ECA"/>
    <w:rsid w:val="000B7228"/>
    <w:rsid w:val="000B73D3"/>
    <w:rsid w:val="000B7966"/>
    <w:rsid w:val="000B7AF7"/>
    <w:rsid w:val="000B7D06"/>
    <w:rsid w:val="000C0173"/>
    <w:rsid w:val="000C1C71"/>
    <w:rsid w:val="000C1EE4"/>
    <w:rsid w:val="000C2446"/>
    <w:rsid w:val="000C2FC5"/>
    <w:rsid w:val="000C3360"/>
    <w:rsid w:val="000C3C43"/>
    <w:rsid w:val="000C3D9C"/>
    <w:rsid w:val="000C427C"/>
    <w:rsid w:val="000C4425"/>
    <w:rsid w:val="000C52D7"/>
    <w:rsid w:val="000C580F"/>
    <w:rsid w:val="000C5F59"/>
    <w:rsid w:val="000C61EA"/>
    <w:rsid w:val="000C6975"/>
    <w:rsid w:val="000C6BA7"/>
    <w:rsid w:val="000C70F7"/>
    <w:rsid w:val="000C7B04"/>
    <w:rsid w:val="000D0132"/>
    <w:rsid w:val="000D1275"/>
    <w:rsid w:val="000D12AA"/>
    <w:rsid w:val="000D1A7D"/>
    <w:rsid w:val="000D2309"/>
    <w:rsid w:val="000D2390"/>
    <w:rsid w:val="000D23AD"/>
    <w:rsid w:val="000D2C15"/>
    <w:rsid w:val="000D350D"/>
    <w:rsid w:val="000D35B7"/>
    <w:rsid w:val="000D38F9"/>
    <w:rsid w:val="000D40F0"/>
    <w:rsid w:val="000D495E"/>
    <w:rsid w:val="000D4CFC"/>
    <w:rsid w:val="000D4E09"/>
    <w:rsid w:val="000D53B3"/>
    <w:rsid w:val="000D5864"/>
    <w:rsid w:val="000D58D2"/>
    <w:rsid w:val="000D5DD9"/>
    <w:rsid w:val="000D6AF1"/>
    <w:rsid w:val="000D6B42"/>
    <w:rsid w:val="000D6DA4"/>
    <w:rsid w:val="000D7E27"/>
    <w:rsid w:val="000E0040"/>
    <w:rsid w:val="000E01F1"/>
    <w:rsid w:val="000E0227"/>
    <w:rsid w:val="000E065D"/>
    <w:rsid w:val="000E0C54"/>
    <w:rsid w:val="000E121A"/>
    <w:rsid w:val="000E121E"/>
    <w:rsid w:val="000E14A4"/>
    <w:rsid w:val="000E14C6"/>
    <w:rsid w:val="000E166A"/>
    <w:rsid w:val="000E1C23"/>
    <w:rsid w:val="000E2F34"/>
    <w:rsid w:val="000E301B"/>
    <w:rsid w:val="000E4DE8"/>
    <w:rsid w:val="000E60B2"/>
    <w:rsid w:val="000E69FE"/>
    <w:rsid w:val="000E6C9A"/>
    <w:rsid w:val="000E7308"/>
    <w:rsid w:val="000F0F13"/>
    <w:rsid w:val="000F15AE"/>
    <w:rsid w:val="000F179C"/>
    <w:rsid w:val="000F1A83"/>
    <w:rsid w:val="000F1FA3"/>
    <w:rsid w:val="000F2065"/>
    <w:rsid w:val="000F2359"/>
    <w:rsid w:val="000F2A88"/>
    <w:rsid w:val="000F2D1B"/>
    <w:rsid w:val="000F353A"/>
    <w:rsid w:val="000F3ADB"/>
    <w:rsid w:val="000F3FA1"/>
    <w:rsid w:val="000F4752"/>
    <w:rsid w:val="000F480C"/>
    <w:rsid w:val="000F48D9"/>
    <w:rsid w:val="000F4B7E"/>
    <w:rsid w:val="000F4E82"/>
    <w:rsid w:val="000F51DA"/>
    <w:rsid w:val="000F5577"/>
    <w:rsid w:val="000F565B"/>
    <w:rsid w:val="000F57BF"/>
    <w:rsid w:val="000F5842"/>
    <w:rsid w:val="000F5F3F"/>
    <w:rsid w:val="000F67AA"/>
    <w:rsid w:val="000F7A66"/>
    <w:rsid w:val="00100583"/>
    <w:rsid w:val="001018E7"/>
    <w:rsid w:val="001019D8"/>
    <w:rsid w:val="00101C3F"/>
    <w:rsid w:val="00101DD0"/>
    <w:rsid w:val="00102555"/>
    <w:rsid w:val="00102D63"/>
    <w:rsid w:val="00102F06"/>
    <w:rsid w:val="00103DFC"/>
    <w:rsid w:val="001040E1"/>
    <w:rsid w:val="001047E8"/>
    <w:rsid w:val="00104B2A"/>
    <w:rsid w:val="00104E51"/>
    <w:rsid w:val="00104F15"/>
    <w:rsid w:val="001051A9"/>
    <w:rsid w:val="0010553F"/>
    <w:rsid w:val="00105BA0"/>
    <w:rsid w:val="00105C7A"/>
    <w:rsid w:val="001061D3"/>
    <w:rsid w:val="00106748"/>
    <w:rsid w:val="0010688F"/>
    <w:rsid w:val="00106A04"/>
    <w:rsid w:val="00106AF7"/>
    <w:rsid w:val="001075B1"/>
    <w:rsid w:val="00107AB7"/>
    <w:rsid w:val="00107D54"/>
    <w:rsid w:val="00107E28"/>
    <w:rsid w:val="00110079"/>
    <w:rsid w:val="00110173"/>
    <w:rsid w:val="00110A90"/>
    <w:rsid w:val="001111F7"/>
    <w:rsid w:val="00111A14"/>
    <w:rsid w:val="001138DA"/>
    <w:rsid w:val="00115399"/>
    <w:rsid w:val="00115711"/>
    <w:rsid w:val="0011585F"/>
    <w:rsid w:val="00115A55"/>
    <w:rsid w:val="00115AD7"/>
    <w:rsid w:val="00115B7D"/>
    <w:rsid w:val="00116224"/>
    <w:rsid w:val="001165DD"/>
    <w:rsid w:val="00116971"/>
    <w:rsid w:val="001172D4"/>
    <w:rsid w:val="00117316"/>
    <w:rsid w:val="00117A19"/>
    <w:rsid w:val="001208AF"/>
    <w:rsid w:val="001212EF"/>
    <w:rsid w:val="001215C5"/>
    <w:rsid w:val="001217DC"/>
    <w:rsid w:val="0012203F"/>
    <w:rsid w:val="00122873"/>
    <w:rsid w:val="00122EAA"/>
    <w:rsid w:val="00123243"/>
    <w:rsid w:val="00123CC6"/>
    <w:rsid w:val="001241FC"/>
    <w:rsid w:val="0012517B"/>
    <w:rsid w:val="00125202"/>
    <w:rsid w:val="00125C68"/>
    <w:rsid w:val="00125C8A"/>
    <w:rsid w:val="00125E74"/>
    <w:rsid w:val="00126080"/>
    <w:rsid w:val="001264D8"/>
    <w:rsid w:val="00126953"/>
    <w:rsid w:val="00126AD5"/>
    <w:rsid w:val="00126B0A"/>
    <w:rsid w:val="00126C43"/>
    <w:rsid w:val="00126EEB"/>
    <w:rsid w:val="001275EA"/>
    <w:rsid w:val="00127777"/>
    <w:rsid w:val="001305BF"/>
    <w:rsid w:val="001307D9"/>
    <w:rsid w:val="00130827"/>
    <w:rsid w:val="001308A2"/>
    <w:rsid w:val="00130C56"/>
    <w:rsid w:val="00131668"/>
    <w:rsid w:val="001319AB"/>
    <w:rsid w:val="001321FC"/>
    <w:rsid w:val="001325A9"/>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36704"/>
    <w:rsid w:val="00136BDB"/>
    <w:rsid w:val="0014046D"/>
    <w:rsid w:val="00140D6F"/>
    <w:rsid w:val="00142838"/>
    <w:rsid w:val="00143282"/>
    <w:rsid w:val="00143430"/>
    <w:rsid w:val="00143653"/>
    <w:rsid w:val="0014396D"/>
    <w:rsid w:val="00143B3A"/>
    <w:rsid w:val="00144298"/>
    <w:rsid w:val="001446E6"/>
    <w:rsid w:val="0014521C"/>
    <w:rsid w:val="0014549B"/>
    <w:rsid w:val="0014599D"/>
    <w:rsid w:val="00146AE7"/>
    <w:rsid w:val="00147350"/>
    <w:rsid w:val="00147AE8"/>
    <w:rsid w:val="00147B3F"/>
    <w:rsid w:val="00150463"/>
    <w:rsid w:val="00150829"/>
    <w:rsid w:val="001520F3"/>
    <w:rsid w:val="00152CBF"/>
    <w:rsid w:val="00152D54"/>
    <w:rsid w:val="001530C6"/>
    <w:rsid w:val="001530CC"/>
    <w:rsid w:val="001530FC"/>
    <w:rsid w:val="00153212"/>
    <w:rsid w:val="00153237"/>
    <w:rsid w:val="00153387"/>
    <w:rsid w:val="0015359C"/>
    <w:rsid w:val="0015366C"/>
    <w:rsid w:val="001540C3"/>
    <w:rsid w:val="00154156"/>
    <w:rsid w:val="00154BE4"/>
    <w:rsid w:val="00154CC9"/>
    <w:rsid w:val="001559C0"/>
    <w:rsid w:val="00155AB6"/>
    <w:rsid w:val="001560F0"/>
    <w:rsid w:val="00156987"/>
    <w:rsid w:val="00156D80"/>
    <w:rsid w:val="00156DC1"/>
    <w:rsid w:val="00157E23"/>
    <w:rsid w:val="00157FC3"/>
    <w:rsid w:val="0016028E"/>
    <w:rsid w:val="00160854"/>
    <w:rsid w:val="001610A3"/>
    <w:rsid w:val="00161C84"/>
    <w:rsid w:val="001623F2"/>
    <w:rsid w:val="00162651"/>
    <w:rsid w:val="001626BD"/>
    <w:rsid w:val="00162D35"/>
    <w:rsid w:val="001635AE"/>
    <w:rsid w:val="001635DB"/>
    <w:rsid w:val="0016379F"/>
    <w:rsid w:val="00163812"/>
    <w:rsid w:val="00163865"/>
    <w:rsid w:val="0016482C"/>
    <w:rsid w:val="0016483A"/>
    <w:rsid w:val="00164A38"/>
    <w:rsid w:val="00164E23"/>
    <w:rsid w:val="00164FD8"/>
    <w:rsid w:val="001650F8"/>
    <w:rsid w:val="00165222"/>
    <w:rsid w:val="0016595F"/>
    <w:rsid w:val="00165A06"/>
    <w:rsid w:val="00166372"/>
    <w:rsid w:val="001663C2"/>
    <w:rsid w:val="00166A2C"/>
    <w:rsid w:val="001675AC"/>
    <w:rsid w:val="00167879"/>
    <w:rsid w:val="00167E9C"/>
    <w:rsid w:val="00170BD9"/>
    <w:rsid w:val="00170E88"/>
    <w:rsid w:val="0017191D"/>
    <w:rsid w:val="00171B3F"/>
    <w:rsid w:val="00171E87"/>
    <w:rsid w:val="00171FD5"/>
    <w:rsid w:val="00172369"/>
    <w:rsid w:val="00172D74"/>
    <w:rsid w:val="0017320F"/>
    <w:rsid w:val="00173374"/>
    <w:rsid w:val="0017350C"/>
    <w:rsid w:val="00173873"/>
    <w:rsid w:val="00174FBF"/>
    <w:rsid w:val="0017584B"/>
    <w:rsid w:val="00175B0A"/>
    <w:rsid w:val="00175E0B"/>
    <w:rsid w:val="00175E43"/>
    <w:rsid w:val="00176286"/>
    <w:rsid w:val="00176BC7"/>
    <w:rsid w:val="00177167"/>
    <w:rsid w:val="00181EFF"/>
    <w:rsid w:val="0018205E"/>
    <w:rsid w:val="00182A05"/>
    <w:rsid w:val="00182A09"/>
    <w:rsid w:val="001834DC"/>
    <w:rsid w:val="0018360E"/>
    <w:rsid w:val="00183959"/>
    <w:rsid w:val="00183C79"/>
    <w:rsid w:val="00183C8B"/>
    <w:rsid w:val="00183E75"/>
    <w:rsid w:val="00184465"/>
    <w:rsid w:val="001845CF"/>
    <w:rsid w:val="00184BF0"/>
    <w:rsid w:val="001857BB"/>
    <w:rsid w:val="001865BB"/>
    <w:rsid w:val="00187339"/>
    <w:rsid w:val="00187518"/>
    <w:rsid w:val="00187941"/>
    <w:rsid w:val="00190FB6"/>
    <w:rsid w:val="001911C7"/>
    <w:rsid w:val="001912E3"/>
    <w:rsid w:val="001913D0"/>
    <w:rsid w:val="00191B7F"/>
    <w:rsid w:val="001933A1"/>
    <w:rsid w:val="00193911"/>
    <w:rsid w:val="00194444"/>
    <w:rsid w:val="00194FD4"/>
    <w:rsid w:val="00195092"/>
    <w:rsid w:val="001952F2"/>
    <w:rsid w:val="0019560F"/>
    <w:rsid w:val="00195AC6"/>
    <w:rsid w:val="00195BE2"/>
    <w:rsid w:val="00195DED"/>
    <w:rsid w:val="00196B4E"/>
    <w:rsid w:val="00196E75"/>
    <w:rsid w:val="00197D73"/>
    <w:rsid w:val="00197F24"/>
    <w:rsid w:val="001A027A"/>
    <w:rsid w:val="001A0C05"/>
    <w:rsid w:val="001A0D2C"/>
    <w:rsid w:val="001A2282"/>
    <w:rsid w:val="001A3425"/>
    <w:rsid w:val="001A35A9"/>
    <w:rsid w:val="001A37A1"/>
    <w:rsid w:val="001A398D"/>
    <w:rsid w:val="001A3AE8"/>
    <w:rsid w:val="001A41EA"/>
    <w:rsid w:val="001A422B"/>
    <w:rsid w:val="001A440A"/>
    <w:rsid w:val="001A4441"/>
    <w:rsid w:val="001A4A55"/>
    <w:rsid w:val="001A4BB5"/>
    <w:rsid w:val="001A4F44"/>
    <w:rsid w:val="001A53DF"/>
    <w:rsid w:val="001A54DC"/>
    <w:rsid w:val="001A57CF"/>
    <w:rsid w:val="001A5D61"/>
    <w:rsid w:val="001A6A4F"/>
    <w:rsid w:val="001A76B7"/>
    <w:rsid w:val="001B0C8A"/>
    <w:rsid w:val="001B112B"/>
    <w:rsid w:val="001B1339"/>
    <w:rsid w:val="001B197E"/>
    <w:rsid w:val="001B1FC5"/>
    <w:rsid w:val="001B26FF"/>
    <w:rsid w:val="001B2B6A"/>
    <w:rsid w:val="001B32B8"/>
    <w:rsid w:val="001B4A03"/>
    <w:rsid w:val="001B4AD1"/>
    <w:rsid w:val="001B5614"/>
    <w:rsid w:val="001B5B57"/>
    <w:rsid w:val="001B6B20"/>
    <w:rsid w:val="001B783E"/>
    <w:rsid w:val="001B7BEC"/>
    <w:rsid w:val="001C006F"/>
    <w:rsid w:val="001C04B2"/>
    <w:rsid w:val="001C0D59"/>
    <w:rsid w:val="001C0DED"/>
    <w:rsid w:val="001C1FDE"/>
    <w:rsid w:val="001C2140"/>
    <w:rsid w:val="001C231F"/>
    <w:rsid w:val="001C2493"/>
    <w:rsid w:val="001C2A9D"/>
    <w:rsid w:val="001C2C77"/>
    <w:rsid w:val="001C3021"/>
    <w:rsid w:val="001C3737"/>
    <w:rsid w:val="001C3CC2"/>
    <w:rsid w:val="001C3ECC"/>
    <w:rsid w:val="001C3F78"/>
    <w:rsid w:val="001C44BE"/>
    <w:rsid w:val="001C4592"/>
    <w:rsid w:val="001C4BD7"/>
    <w:rsid w:val="001C55F7"/>
    <w:rsid w:val="001C5839"/>
    <w:rsid w:val="001C61B1"/>
    <w:rsid w:val="001C62D6"/>
    <w:rsid w:val="001C6AF5"/>
    <w:rsid w:val="001C70CD"/>
    <w:rsid w:val="001C77E1"/>
    <w:rsid w:val="001C7ADA"/>
    <w:rsid w:val="001D085D"/>
    <w:rsid w:val="001D0A66"/>
    <w:rsid w:val="001D1872"/>
    <w:rsid w:val="001D1C05"/>
    <w:rsid w:val="001D1C72"/>
    <w:rsid w:val="001D2F0C"/>
    <w:rsid w:val="001D2FF7"/>
    <w:rsid w:val="001D3543"/>
    <w:rsid w:val="001D3A40"/>
    <w:rsid w:val="001D46EF"/>
    <w:rsid w:val="001D4AF5"/>
    <w:rsid w:val="001D58E5"/>
    <w:rsid w:val="001D5FDE"/>
    <w:rsid w:val="001D6191"/>
    <w:rsid w:val="001D6289"/>
    <w:rsid w:val="001D62D7"/>
    <w:rsid w:val="001D650B"/>
    <w:rsid w:val="001D6563"/>
    <w:rsid w:val="001D6CA4"/>
    <w:rsid w:val="001D76AD"/>
    <w:rsid w:val="001D7A5C"/>
    <w:rsid w:val="001E072E"/>
    <w:rsid w:val="001E086E"/>
    <w:rsid w:val="001E08AE"/>
    <w:rsid w:val="001E174B"/>
    <w:rsid w:val="001E226F"/>
    <w:rsid w:val="001E2366"/>
    <w:rsid w:val="001E24A9"/>
    <w:rsid w:val="001E2502"/>
    <w:rsid w:val="001E292F"/>
    <w:rsid w:val="001E3202"/>
    <w:rsid w:val="001E3DD9"/>
    <w:rsid w:val="001E474D"/>
    <w:rsid w:val="001E47E9"/>
    <w:rsid w:val="001E4F0E"/>
    <w:rsid w:val="001E5210"/>
    <w:rsid w:val="001E53B7"/>
    <w:rsid w:val="001E5580"/>
    <w:rsid w:val="001E582A"/>
    <w:rsid w:val="001E5A81"/>
    <w:rsid w:val="001E5AFC"/>
    <w:rsid w:val="001E5EE8"/>
    <w:rsid w:val="001E6615"/>
    <w:rsid w:val="001E72B2"/>
    <w:rsid w:val="001E72E6"/>
    <w:rsid w:val="001F0169"/>
    <w:rsid w:val="001F0349"/>
    <w:rsid w:val="001F0B74"/>
    <w:rsid w:val="001F1A0D"/>
    <w:rsid w:val="001F1E59"/>
    <w:rsid w:val="001F2B19"/>
    <w:rsid w:val="001F3AEE"/>
    <w:rsid w:val="001F3D85"/>
    <w:rsid w:val="001F40A5"/>
    <w:rsid w:val="001F41F6"/>
    <w:rsid w:val="001F4EB8"/>
    <w:rsid w:val="001F5399"/>
    <w:rsid w:val="001F56BD"/>
    <w:rsid w:val="001F596D"/>
    <w:rsid w:val="001F6572"/>
    <w:rsid w:val="001F6F6A"/>
    <w:rsid w:val="001F6FAC"/>
    <w:rsid w:val="001F7595"/>
    <w:rsid w:val="002008FA"/>
    <w:rsid w:val="00200A7A"/>
    <w:rsid w:val="00200B34"/>
    <w:rsid w:val="00200B4C"/>
    <w:rsid w:val="002019F2"/>
    <w:rsid w:val="00201C2A"/>
    <w:rsid w:val="00201CDA"/>
    <w:rsid w:val="002021A8"/>
    <w:rsid w:val="00202326"/>
    <w:rsid w:val="00202865"/>
    <w:rsid w:val="00202E03"/>
    <w:rsid w:val="00203267"/>
    <w:rsid w:val="0020391D"/>
    <w:rsid w:val="00203C2E"/>
    <w:rsid w:val="002044BC"/>
    <w:rsid w:val="00204615"/>
    <w:rsid w:val="00204EFE"/>
    <w:rsid w:val="00205010"/>
    <w:rsid w:val="002053AE"/>
    <w:rsid w:val="00205F9C"/>
    <w:rsid w:val="00207369"/>
    <w:rsid w:val="00207767"/>
    <w:rsid w:val="00207BDB"/>
    <w:rsid w:val="00207C21"/>
    <w:rsid w:val="00210771"/>
    <w:rsid w:val="00211885"/>
    <w:rsid w:val="00211AB7"/>
    <w:rsid w:val="00211C59"/>
    <w:rsid w:val="00214143"/>
    <w:rsid w:val="00214211"/>
    <w:rsid w:val="0021428F"/>
    <w:rsid w:val="00214715"/>
    <w:rsid w:val="00215229"/>
    <w:rsid w:val="00215699"/>
    <w:rsid w:val="002159DE"/>
    <w:rsid w:val="00215ADD"/>
    <w:rsid w:val="00215CE6"/>
    <w:rsid w:val="00215E99"/>
    <w:rsid w:val="002166A6"/>
    <w:rsid w:val="00216A61"/>
    <w:rsid w:val="00216BB6"/>
    <w:rsid w:val="00216C30"/>
    <w:rsid w:val="00217B45"/>
    <w:rsid w:val="0022048B"/>
    <w:rsid w:val="00220692"/>
    <w:rsid w:val="0022182A"/>
    <w:rsid w:val="00221C86"/>
    <w:rsid w:val="00222103"/>
    <w:rsid w:val="00222261"/>
    <w:rsid w:val="00222616"/>
    <w:rsid w:val="002236C9"/>
    <w:rsid w:val="002237D3"/>
    <w:rsid w:val="00223B07"/>
    <w:rsid w:val="00223C82"/>
    <w:rsid w:val="0022436A"/>
    <w:rsid w:val="00224E52"/>
    <w:rsid w:val="00225736"/>
    <w:rsid w:val="0022590D"/>
    <w:rsid w:val="00225E64"/>
    <w:rsid w:val="002267CE"/>
    <w:rsid w:val="00227488"/>
    <w:rsid w:val="00227D49"/>
    <w:rsid w:val="00227FC7"/>
    <w:rsid w:val="00230479"/>
    <w:rsid w:val="00231431"/>
    <w:rsid w:val="00231740"/>
    <w:rsid w:val="002319E6"/>
    <w:rsid w:val="0023244F"/>
    <w:rsid w:val="002325A8"/>
    <w:rsid w:val="00232B18"/>
    <w:rsid w:val="00232EED"/>
    <w:rsid w:val="00233C2A"/>
    <w:rsid w:val="002341F6"/>
    <w:rsid w:val="0023440D"/>
    <w:rsid w:val="002347B1"/>
    <w:rsid w:val="00234A18"/>
    <w:rsid w:val="00234DDE"/>
    <w:rsid w:val="002351B7"/>
    <w:rsid w:val="00235A21"/>
    <w:rsid w:val="00235D25"/>
    <w:rsid w:val="00235E13"/>
    <w:rsid w:val="00236A66"/>
    <w:rsid w:val="00236E72"/>
    <w:rsid w:val="00236F13"/>
    <w:rsid w:val="0023706D"/>
    <w:rsid w:val="002372F4"/>
    <w:rsid w:val="0024029A"/>
    <w:rsid w:val="002407C8"/>
    <w:rsid w:val="00240EC2"/>
    <w:rsid w:val="002417F8"/>
    <w:rsid w:val="00241FC8"/>
    <w:rsid w:val="00242328"/>
    <w:rsid w:val="00242CBE"/>
    <w:rsid w:val="002440FD"/>
    <w:rsid w:val="0024472B"/>
    <w:rsid w:val="002458CC"/>
    <w:rsid w:val="00245C4C"/>
    <w:rsid w:val="00246221"/>
    <w:rsid w:val="00246447"/>
    <w:rsid w:val="00246CCD"/>
    <w:rsid w:val="002471BC"/>
    <w:rsid w:val="002478E5"/>
    <w:rsid w:val="00247AF9"/>
    <w:rsid w:val="0025073C"/>
    <w:rsid w:val="00250F42"/>
    <w:rsid w:val="00250FD2"/>
    <w:rsid w:val="00251A8F"/>
    <w:rsid w:val="00252702"/>
    <w:rsid w:val="00253EA0"/>
    <w:rsid w:val="00254B44"/>
    <w:rsid w:val="00254E99"/>
    <w:rsid w:val="00255BAF"/>
    <w:rsid w:val="0025753B"/>
    <w:rsid w:val="00257AAE"/>
    <w:rsid w:val="0026027A"/>
    <w:rsid w:val="00260423"/>
    <w:rsid w:val="00260533"/>
    <w:rsid w:val="002606FF"/>
    <w:rsid w:val="00260ED8"/>
    <w:rsid w:val="002615F8"/>
    <w:rsid w:val="002616E6"/>
    <w:rsid w:val="002619A5"/>
    <w:rsid w:val="00261A54"/>
    <w:rsid w:val="00261D37"/>
    <w:rsid w:val="00261E00"/>
    <w:rsid w:val="00263081"/>
    <w:rsid w:val="00263607"/>
    <w:rsid w:val="00263874"/>
    <w:rsid w:val="00263D34"/>
    <w:rsid w:val="00263EF1"/>
    <w:rsid w:val="00264059"/>
    <w:rsid w:val="0026411A"/>
    <w:rsid w:val="00264FC8"/>
    <w:rsid w:val="002654E8"/>
    <w:rsid w:val="002656E1"/>
    <w:rsid w:val="00265728"/>
    <w:rsid w:val="00265CFF"/>
    <w:rsid w:val="002674E3"/>
    <w:rsid w:val="00267755"/>
    <w:rsid w:val="002705FE"/>
    <w:rsid w:val="002706F0"/>
    <w:rsid w:val="002713DB"/>
    <w:rsid w:val="002715AC"/>
    <w:rsid w:val="00272219"/>
    <w:rsid w:val="00272D7E"/>
    <w:rsid w:val="00273278"/>
    <w:rsid w:val="00273AFD"/>
    <w:rsid w:val="002741A0"/>
    <w:rsid w:val="002746D8"/>
    <w:rsid w:val="00275343"/>
    <w:rsid w:val="00275608"/>
    <w:rsid w:val="00275641"/>
    <w:rsid w:val="00276AE0"/>
    <w:rsid w:val="00276D6A"/>
    <w:rsid w:val="00277E64"/>
    <w:rsid w:val="00280042"/>
    <w:rsid w:val="00280AB5"/>
    <w:rsid w:val="00280B32"/>
    <w:rsid w:val="00281270"/>
    <w:rsid w:val="0028218E"/>
    <w:rsid w:val="002821E9"/>
    <w:rsid w:val="00282613"/>
    <w:rsid w:val="00282A2B"/>
    <w:rsid w:val="00283FE7"/>
    <w:rsid w:val="00284346"/>
    <w:rsid w:val="00284387"/>
    <w:rsid w:val="00285523"/>
    <w:rsid w:val="0028553F"/>
    <w:rsid w:val="002857C6"/>
    <w:rsid w:val="002868A6"/>
    <w:rsid w:val="002868BE"/>
    <w:rsid w:val="0028710F"/>
    <w:rsid w:val="002872C3"/>
    <w:rsid w:val="0028796D"/>
    <w:rsid w:val="002903E2"/>
    <w:rsid w:val="0029077C"/>
    <w:rsid w:val="002908A7"/>
    <w:rsid w:val="002913FD"/>
    <w:rsid w:val="00291592"/>
    <w:rsid w:val="00291D71"/>
    <w:rsid w:val="00292115"/>
    <w:rsid w:val="00292F66"/>
    <w:rsid w:val="0029315D"/>
    <w:rsid w:val="00293534"/>
    <w:rsid w:val="00293777"/>
    <w:rsid w:val="00293B16"/>
    <w:rsid w:val="0029421A"/>
    <w:rsid w:val="0029449E"/>
    <w:rsid w:val="00294C8B"/>
    <w:rsid w:val="0029504D"/>
    <w:rsid w:val="0029570C"/>
    <w:rsid w:val="002966DE"/>
    <w:rsid w:val="00296F46"/>
    <w:rsid w:val="00296F84"/>
    <w:rsid w:val="00296F8A"/>
    <w:rsid w:val="002A13CA"/>
    <w:rsid w:val="002A180F"/>
    <w:rsid w:val="002A1873"/>
    <w:rsid w:val="002A1AE1"/>
    <w:rsid w:val="002A2857"/>
    <w:rsid w:val="002A2D7B"/>
    <w:rsid w:val="002A367A"/>
    <w:rsid w:val="002A36DF"/>
    <w:rsid w:val="002A3B40"/>
    <w:rsid w:val="002A40BC"/>
    <w:rsid w:val="002A4404"/>
    <w:rsid w:val="002A51E9"/>
    <w:rsid w:val="002A52E3"/>
    <w:rsid w:val="002A5425"/>
    <w:rsid w:val="002A547D"/>
    <w:rsid w:val="002A556E"/>
    <w:rsid w:val="002A5B44"/>
    <w:rsid w:val="002A5CA0"/>
    <w:rsid w:val="002A5DA4"/>
    <w:rsid w:val="002A63AF"/>
    <w:rsid w:val="002A6AD1"/>
    <w:rsid w:val="002A6FBE"/>
    <w:rsid w:val="002A70E7"/>
    <w:rsid w:val="002A7869"/>
    <w:rsid w:val="002A7BB5"/>
    <w:rsid w:val="002A7F5B"/>
    <w:rsid w:val="002B0D78"/>
    <w:rsid w:val="002B0F46"/>
    <w:rsid w:val="002B0FBD"/>
    <w:rsid w:val="002B1202"/>
    <w:rsid w:val="002B2078"/>
    <w:rsid w:val="002B22D4"/>
    <w:rsid w:val="002B232E"/>
    <w:rsid w:val="002B2334"/>
    <w:rsid w:val="002B291F"/>
    <w:rsid w:val="002B2E6C"/>
    <w:rsid w:val="002B3178"/>
    <w:rsid w:val="002B3C14"/>
    <w:rsid w:val="002B3C46"/>
    <w:rsid w:val="002B3FD0"/>
    <w:rsid w:val="002B43FA"/>
    <w:rsid w:val="002B5C84"/>
    <w:rsid w:val="002B6421"/>
    <w:rsid w:val="002B6B22"/>
    <w:rsid w:val="002B7969"/>
    <w:rsid w:val="002C06D1"/>
    <w:rsid w:val="002C12CD"/>
    <w:rsid w:val="002C1A12"/>
    <w:rsid w:val="002C2417"/>
    <w:rsid w:val="002C2DB8"/>
    <w:rsid w:val="002C3066"/>
    <w:rsid w:val="002C4063"/>
    <w:rsid w:val="002C41DC"/>
    <w:rsid w:val="002C423C"/>
    <w:rsid w:val="002C4822"/>
    <w:rsid w:val="002C4EB6"/>
    <w:rsid w:val="002C5A63"/>
    <w:rsid w:val="002C63F6"/>
    <w:rsid w:val="002C65ED"/>
    <w:rsid w:val="002C7445"/>
    <w:rsid w:val="002C754B"/>
    <w:rsid w:val="002C75AC"/>
    <w:rsid w:val="002C762E"/>
    <w:rsid w:val="002C79D7"/>
    <w:rsid w:val="002D0356"/>
    <w:rsid w:val="002D06E7"/>
    <w:rsid w:val="002D07C0"/>
    <w:rsid w:val="002D0904"/>
    <w:rsid w:val="002D0905"/>
    <w:rsid w:val="002D0919"/>
    <w:rsid w:val="002D0C19"/>
    <w:rsid w:val="002D0FC6"/>
    <w:rsid w:val="002D1101"/>
    <w:rsid w:val="002D138C"/>
    <w:rsid w:val="002D14B7"/>
    <w:rsid w:val="002D18BC"/>
    <w:rsid w:val="002D192F"/>
    <w:rsid w:val="002D1A3D"/>
    <w:rsid w:val="002D2441"/>
    <w:rsid w:val="002D3A8A"/>
    <w:rsid w:val="002D3B3F"/>
    <w:rsid w:val="002D3CC7"/>
    <w:rsid w:val="002D3EC8"/>
    <w:rsid w:val="002D4325"/>
    <w:rsid w:val="002D45BF"/>
    <w:rsid w:val="002D4A85"/>
    <w:rsid w:val="002D64DF"/>
    <w:rsid w:val="002D71F8"/>
    <w:rsid w:val="002D7674"/>
    <w:rsid w:val="002E000C"/>
    <w:rsid w:val="002E0376"/>
    <w:rsid w:val="002E0BB3"/>
    <w:rsid w:val="002E1280"/>
    <w:rsid w:val="002E13E0"/>
    <w:rsid w:val="002E1950"/>
    <w:rsid w:val="002E22A2"/>
    <w:rsid w:val="002E2864"/>
    <w:rsid w:val="002E2900"/>
    <w:rsid w:val="002E2D4A"/>
    <w:rsid w:val="002E2F6A"/>
    <w:rsid w:val="002E38DB"/>
    <w:rsid w:val="002E3D09"/>
    <w:rsid w:val="002E4095"/>
    <w:rsid w:val="002E4F35"/>
    <w:rsid w:val="002E5256"/>
    <w:rsid w:val="002E5271"/>
    <w:rsid w:val="002E538F"/>
    <w:rsid w:val="002E539A"/>
    <w:rsid w:val="002E55DD"/>
    <w:rsid w:val="002E5995"/>
    <w:rsid w:val="002E5E77"/>
    <w:rsid w:val="002E5F31"/>
    <w:rsid w:val="002E748D"/>
    <w:rsid w:val="002E7B71"/>
    <w:rsid w:val="002E7EA2"/>
    <w:rsid w:val="002F0F75"/>
    <w:rsid w:val="002F0FA6"/>
    <w:rsid w:val="002F117A"/>
    <w:rsid w:val="002F127D"/>
    <w:rsid w:val="002F12EB"/>
    <w:rsid w:val="002F14F5"/>
    <w:rsid w:val="002F1528"/>
    <w:rsid w:val="002F214C"/>
    <w:rsid w:val="002F2B7A"/>
    <w:rsid w:val="002F2FF4"/>
    <w:rsid w:val="002F3102"/>
    <w:rsid w:val="002F3105"/>
    <w:rsid w:val="002F3388"/>
    <w:rsid w:val="002F37D0"/>
    <w:rsid w:val="002F4604"/>
    <w:rsid w:val="002F4675"/>
    <w:rsid w:val="002F485F"/>
    <w:rsid w:val="002F493D"/>
    <w:rsid w:val="002F49C5"/>
    <w:rsid w:val="002F54F6"/>
    <w:rsid w:val="002F554B"/>
    <w:rsid w:val="002F5836"/>
    <w:rsid w:val="002F5892"/>
    <w:rsid w:val="002F5EB8"/>
    <w:rsid w:val="002F6071"/>
    <w:rsid w:val="002F6F94"/>
    <w:rsid w:val="002F72FF"/>
    <w:rsid w:val="002F750F"/>
    <w:rsid w:val="002F79CC"/>
    <w:rsid w:val="002F7BE7"/>
    <w:rsid w:val="002F7C59"/>
    <w:rsid w:val="002F7F8F"/>
    <w:rsid w:val="00300149"/>
    <w:rsid w:val="00300264"/>
    <w:rsid w:val="003014B1"/>
    <w:rsid w:val="003019D9"/>
    <w:rsid w:val="0030242B"/>
    <w:rsid w:val="00302595"/>
    <w:rsid w:val="00302850"/>
    <w:rsid w:val="00303041"/>
    <w:rsid w:val="003030F5"/>
    <w:rsid w:val="0030349E"/>
    <w:rsid w:val="003036F3"/>
    <w:rsid w:val="0030463E"/>
    <w:rsid w:val="00304AB6"/>
    <w:rsid w:val="00304ED6"/>
    <w:rsid w:val="003064BF"/>
    <w:rsid w:val="00306521"/>
    <w:rsid w:val="00307223"/>
    <w:rsid w:val="00307B47"/>
    <w:rsid w:val="00307CCA"/>
    <w:rsid w:val="0031034B"/>
    <w:rsid w:val="003107C6"/>
    <w:rsid w:val="00310825"/>
    <w:rsid w:val="0031239E"/>
    <w:rsid w:val="003123BD"/>
    <w:rsid w:val="00312AB8"/>
    <w:rsid w:val="00312FB7"/>
    <w:rsid w:val="00313100"/>
    <w:rsid w:val="00313197"/>
    <w:rsid w:val="0031398C"/>
    <w:rsid w:val="00313D9B"/>
    <w:rsid w:val="00313F79"/>
    <w:rsid w:val="003142D0"/>
    <w:rsid w:val="00314A3B"/>
    <w:rsid w:val="00315212"/>
    <w:rsid w:val="00315A06"/>
    <w:rsid w:val="00315CD2"/>
    <w:rsid w:val="00316600"/>
    <w:rsid w:val="003166C1"/>
    <w:rsid w:val="00316A8B"/>
    <w:rsid w:val="00316BF6"/>
    <w:rsid w:val="0031733B"/>
    <w:rsid w:val="00317E87"/>
    <w:rsid w:val="0032081F"/>
    <w:rsid w:val="00322121"/>
    <w:rsid w:val="003221EB"/>
    <w:rsid w:val="00322425"/>
    <w:rsid w:val="003225FB"/>
    <w:rsid w:val="003232FE"/>
    <w:rsid w:val="003235CB"/>
    <w:rsid w:val="00323759"/>
    <w:rsid w:val="00323A7C"/>
    <w:rsid w:val="00323C32"/>
    <w:rsid w:val="00323FC7"/>
    <w:rsid w:val="00324A1D"/>
    <w:rsid w:val="00325742"/>
    <w:rsid w:val="00325B63"/>
    <w:rsid w:val="00326196"/>
    <w:rsid w:val="00326240"/>
    <w:rsid w:val="00326C33"/>
    <w:rsid w:val="003278A1"/>
    <w:rsid w:val="00327909"/>
    <w:rsid w:val="00327AB3"/>
    <w:rsid w:val="00327D16"/>
    <w:rsid w:val="00330D77"/>
    <w:rsid w:val="00330FEB"/>
    <w:rsid w:val="00331120"/>
    <w:rsid w:val="00331E0F"/>
    <w:rsid w:val="00331E9D"/>
    <w:rsid w:val="003327DF"/>
    <w:rsid w:val="00332FCC"/>
    <w:rsid w:val="0033371C"/>
    <w:rsid w:val="0033446E"/>
    <w:rsid w:val="003369FF"/>
    <w:rsid w:val="00336A50"/>
    <w:rsid w:val="00336AEA"/>
    <w:rsid w:val="00336B35"/>
    <w:rsid w:val="0033758C"/>
    <w:rsid w:val="0033764B"/>
    <w:rsid w:val="00340778"/>
    <w:rsid w:val="00340B2C"/>
    <w:rsid w:val="00340B44"/>
    <w:rsid w:val="0034138D"/>
    <w:rsid w:val="003416BE"/>
    <w:rsid w:val="0034170C"/>
    <w:rsid w:val="00341CED"/>
    <w:rsid w:val="00342759"/>
    <w:rsid w:val="00342DC1"/>
    <w:rsid w:val="00343525"/>
    <w:rsid w:val="00343BDF"/>
    <w:rsid w:val="00343F41"/>
    <w:rsid w:val="0034459F"/>
    <w:rsid w:val="00344FD2"/>
    <w:rsid w:val="00345300"/>
    <w:rsid w:val="00345424"/>
    <w:rsid w:val="003459F3"/>
    <w:rsid w:val="00345EA7"/>
    <w:rsid w:val="003461F1"/>
    <w:rsid w:val="0034652C"/>
    <w:rsid w:val="0034681A"/>
    <w:rsid w:val="003472BD"/>
    <w:rsid w:val="0034765D"/>
    <w:rsid w:val="00347CFD"/>
    <w:rsid w:val="00347D0E"/>
    <w:rsid w:val="00347F10"/>
    <w:rsid w:val="0035067B"/>
    <w:rsid w:val="00350E0D"/>
    <w:rsid w:val="003512FF"/>
    <w:rsid w:val="00351FA1"/>
    <w:rsid w:val="00351FB4"/>
    <w:rsid w:val="003524FB"/>
    <w:rsid w:val="00352B65"/>
    <w:rsid w:val="003530E5"/>
    <w:rsid w:val="0035373E"/>
    <w:rsid w:val="00353878"/>
    <w:rsid w:val="00353A00"/>
    <w:rsid w:val="00354A1F"/>
    <w:rsid w:val="00355060"/>
    <w:rsid w:val="00355567"/>
    <w:rsid w:val="00355B11"/>
    <w:rsid w:val="00355C02"/>
    <w:rsid w:val="00355F4E"/>
    <w:rsid w:val="00356117"/>
    <w:rsid w:val="003562B1"/>
    <w:rsid w:val="00356A2B"/>
    <w:rsid w:val="00357DFD"/>
    <w:rsid w:val="00357E85"/>
    <w:rsid w:val="00360494"/>
    <w:rsid w:val="00360AE4"/>
    <w:rsid w:val="003626C0"/>
    <w:rsid w:val="003629AC"/>
    <w:rsid w:val="00362C5E"/>
    <w:rsid w:val="00362E6F"/>
    <w:rsid w:val="00362FA9"/>
    <w:rsid w:val="00363417"/>
    <w:rsid w:val="003635F2"/>
    <w:rsid w:val="003639E5"/>
    <w:rsid w:val="00363D7A"/>
    <w:rsid w:val="0036404A"/>
    <w:rsid w:val="003640A7"/>
    <w:rsid w:val="00364EA5"/>
    <w:rsid w:val="0036508D"/>
    <w:rsid w:val="003650E8"/>
    <w:rsid w:val="003651C8"/>
    <w:rsid w:val="003652EA"/>
    <w:rsid w:val="00365B48"/>
    <w:rsid w:val="00366CAC"/>
    <w:rsid w:val="00367440"/>
    <w:rsid w:val="00367894"/>
    <w:rsid w:val="003679BA"/>
    <w:rsid w:val="003700A3"/>
    <w:rsid w:val="00370217"/>
    <w:rsid w:val="003708BE"/>
    <w:rsid w:val="00370B40"/>
    <w:rsid w:val="0037240A"/>
    <w:rsid w:val="00373411"/>
    <w:rsid w:val="00373D40"/>
    <w:rsid w:val="00374251"/>
    <w:rsid w:val="003744B3"/>
    <w:rsid w:val="00374D41"/>
    <w:rsid w:val="00374E2C"/>
    <w:rsid w:val="00375439"/>
    <w:rsid w:val="00376121"/>
    <w:rsid w:val="00376A7A"/>
    <w:rsid w:val="00376E2B"/>
    <w:rsid w:val="003771F5"/>
    <w:rsid w:val="00377540"/>
    <w:rsid w:val="00377BE4"/>
    <w:rsid w:val="00380094"/>
    <w:rsid w:val="003800F0"/>
    <w:rsid w:val="00380B3A"/>
    <w:rsid w:val="00382306"/>
    <w:rsid w:val="00382B86"/>
    <w:rsid w:val="00383071"/>
    <w:rsid w:val="003832EF"/>
    <w:rsid w:val="00383749"/>
    <w:rsid w:val="003837F4"/>
    <w:rsid w:val="003846D9"/>
    <w:rsid w:val="0038564A"/>
    <w:rsid w:val="0038576C"/>
    <w:rsid w:val="00385800"/>
    <w:rsid w:val="00385F39"/>
    <w:rsid w:val="0038743E"/>
    <w:rsid w:val="003879DF"/>
    <w:rsid w:val="00387DFA"/>
    <w:rsid w:val="0039083F"/>
    <w:rsid w:val="00391374"/>
    <w:rsid w:val="00391FAB"/>
    <w:rsid w:val="00392050"/>
    <w:rsid w:val="003923B4"/>
    <w:rsid w:val="00392539"/>
    <w:rsid w:val="00392677"/>
    <w:rsid w:val="003936EA"/>
    <w:rsid w:val="00393987"/>
    <w:rsid w:val="00393AED"/>
    <w:rsid w:val="003940F7"/>
    <w:rsid w:val="00394981"/>
    <w:rsid w:val="003953A8"/>
    <w:rsid w:val="00396766"/>
    <w:rsid w:val="003968D5"/>
    <w:rsid w:val="00396D6E"/>
    <w:rsid w:val="00396FF0"/>
    <w:rsid w:val="003977E4"/>
    <w:rsid w:val="0039788E"/>
    <w:rsid w:val="00397C74"/>
    <w:rsid w:val="00397F3C"/>
    <w:rsid w:val="003A0529"/>
    <w:rsid w:val="003A0962"/>
    <w:rsid w:val="003A3551"/>
    <w:rsid w:val="003A35AE"/>
    <w:rsid w:val="003A37E9"/>
    <w:rsid w:val="003A38F0"/>
    <w:rsid w:val="003A42F3"/>
    <w:rsid w:val="003A443D"/>
    <w:rsid w:val="003A47E4"/>
    <w:rsid w:val="003A4932"/>
    <w:rsid w:val="003A4CED"/>
    <w:rsid w:val="003A6627"/>
    <w:rsid w:val="003A6A5A"/>
    <w:rsid w:val="003A7025"/>
    <w:rsid w:val="003A72E9"/>
    <w:rsid w:val="003A7E27"/>
    <w:rsid w:val="003B0173"/>
    <w:rsid w:val="003B0398"/>
    <w:rsid w:val="003B0DA5"/>
    <w:rsid w:val="003B2921"/>
    <w:rsid w:val="003B2E38"/>
    <w:rsid w:val="003B4A4A"/>
    <w:rsid w:val="003B53A5"/>
    <w:rsid w:val="003B55CA"/>
    <w:rsid w:val="003B59EE"/>
    <w:rsid w:val="003B5B72"/>
    <w:rsid w:val="003B6D71"/>
    <w:rsid w:val="003B6EF2"/>
    <w:rsid w:val="003B7E7A"/>
    <w:rsid w:val="003C0463"/>
    <w:rsid w:val="003C0905"/>
    <w:rsid w:val="003C0F5F"/>
    <w:rsid w:val="003C1EAF"/>
    <w:rsid w:val="003C346B"/>
    <w:rsid w:val="003C39C7"/>
    <w:rsid w:val="003C3C6D"/>
    <w:rsid w:val="003C40EE"/>
    <w:rsid w:val="003C4206"/>
    <w:rsid w:val="003C42F7"/>
    <w:rsid w:val="003C479F"/>
    <w:rsid w:val="003C4884"/>
    <w:rsid w:val="003C5092"/>
    <w:rsid w:val="003C5A73"/>
    <w:rsid w:val="003C5DEF"/>
    <w:rsid w:val="003C641E"/>
    <w:rsid w:val="003C6C81"/>
    <w:rsid w:val="003C6F33"/>
    <w:rsid w:val="003D047F"/>
    <w:rsid w:val="003D0576"/>
    <w:rsid w:val="003D0FBC"/>
    <w:rsid w:val="003D1210"/>
    <w:rsid w:val="003D2333"/>
    <w:rsid w:val="003D2521"/>
    <w:rsid w:val="003D2FBA"/>
    <w:rsid w:val="003D3161"/>
    <w:rsid w:val="003D3227"/>
    <w:rsid w:val="003D36B8"/>
    <w:rsid w:val="003D3A55"/>
    <w:rsid w:val="003D408F"/>
    <w:rsid w:val="003D4347"/>
    <w:rsid w:val="003D5413"/>
    <w:rsid w:val="003D54E0"/>
    <w:rsid w:val="003D5996"/>
    <w:rsid w:val="003D5D5D"/>
    <w:rsid w:val="003D60A4"/>
    <w:rsid w:val="003D60B7"/>
    <w:rsid w:val="003D6407"/>
    <w:rsid w:val="003D647A"/>
    <w:rsid w:val="003D6B1D"/>
    <w:rsid w:val="003D6E30"/>
    <w:rsid w:val="003D70B5"/>
    <w:rsid w:val="003D79C5"/>
    <w:rsid w:val="003D7B41"/>
    <w:rsid w:val="003D7B45"/>
    <w:rsid w:val="003E03E3"/>
    <w:rsid w:val="003E05FE"/>
    <w:rsid w:val="003E0CD7"/>
    <w:rsid w:val="003E14F0"/>
    <w:rsid w:val="003E30D9"/>
    <w:rsid w:val="003E32D8"/>
    <w:rsid w:val="003E3E19"/>
    <w:rsid w:val="003E417D"/>
    <w:rsid w:val="003E427F"/>
    <w:rsid w:val="003E47DE"/>
    <w:rsid w:val="003E4CDE"/>
    <w:rsid w:val="003E4CFE"/>
    <w:rsid w:val="003E4F42"/>
    <w:rsid w:val="003E5075"/>
    <w:rsid w:val="003E5233"/>
    <w:rsid w:val="003E570A"/>
    <w:rsid w:val="003E5F95"/>
    <w:rsid w:val="003E6F0B"/>
    <w:rsid w:val="003F00D4"/>
    <w:rsid w:val="003F00DF"/>
    <w:rsid w:val="003F018C"/>
    <w:rsid w:val="003F09CB"/>
    <w:rsid w:val="003F10D3"/>
    <w:rsid w:val="003F1150"/>
    <w:rsid w:val="003F140D"/>
    <w:rsid w:val="003F143C"/>
    <w:rsid w:val="003F1548"/>
    <w:rsid w:val="003F176D"/>
    <w:rsid w:val="003F228F"/>
    <w:rsid w:val="003F274F"/>
    <w:rsid w:val="003F2B3D"/>
    <w:rsid w:val="003F3105"/>
    <w:rsid w:val="003F3328"/>
    <w:rsid w:val="003F3C34"/>
    <w:rsid w:val="003F3ED7"/>
    <w:rsid w:val="003F4172"/>
    <w:rsid w:val="003F4222"/>
    <w:rsid w:val="003F4249"/>
    <w:rsid w:val="003F4251"/>
    <w:rsid w:val="003F461D"/>
    <w:rsid w:val="003F4940"/>
    <w:rsid w:val="003F49B5"/>
    <w:rsid w:val="003F4C90"/>
    <w:rsid w:val="003F5071"/>
    <w:rsid w:val="003F5086"/>
    <w:rsid w:val="003F550A"/>
    <w:rsid w:val="003F6ECC"/>
    <w:rsid w:val="003F7DE0"/>
    <w:rsid w:val="003F7EFA"/>
    <w:rsid w:val="0040013E"/>
    <w:rsid w:val="00400C90"/>
    <w:rsid w:val="004012F6"/>
    <w:rsid w:val="00401D27"/>
    <w:rsid w:val="00402160"/>
    <w:rsid w:val="00402D65"/>
    <w:rsid w:val="00402E02"/>
    <w:rsid w:val="00403364"/>
    <w:rsid w:val="00403971"/>
    <w:rsid w:val="0040415C"/>
    <w:rsid w:val="00404D74"/>
    <w:rsid w:val="00404E03"/>
    <w:rsid w:val="00405080"/>
    <w:rsid w:val="0040518A"/>
    <w:rsid w:val="004056F3"/>
    <w:rsid w:val="0040616D"/>
    <w:rsid w:val="00406EF0"/>
    <w:rsid w:val="0040725A"/>
    <w:rsid w:val="00411BB1"/>
    <w:rsid w:val="004126A1"/>
    <w:rsid w:val="00412FA3"/>
    <w:rsid w:val="0041450E"/>
    <w:rsid w:val="004148E1"/>
    <w:rsid w:val="00414BCB"/>
    <w:rsid w:val="00414FE4"/>
    <w:rsid w:val="00415370"/>
    <w:rsid w:val="00415762"/>
    <w:rsid w:val="00415781"/>
    <w:rsid w:val="00415800"/>
    <w:rsid w:val="00415A0B"/>
    <w:rsid w:val="00415C60"/>
    <w:rsid w:val="00415CFE"/>
    <w:rsid w:val="00415F80"/>
    <w:rsid w:val="00416353"/>
    <w:rsid w:val="00416BB6"/>
    <w:rsid w:val="00416F40"/>
    <w:rsid w:val="00417666"/>
    <w:rsid w:val="00417769"/>
    <w:rsid w:val="00417819"/>
    <w:rsid w:val="00420819"/>
    <w:rsid w:val="004215BB"/>
    <w:rsid w:val="0042173F"/>
    <w:rsid w:val="0042192C"/>
    <w:rsid w:val="00421EF2"/>
    <w:rsid w:val="0042241E"/>
    <w:rsid w:val="00422668"/>
    <w:rsid w:val="00422EC3"/>
    <w:rsid w:val="004230B6"/>
    <w:rsid w:val="004235A9"/>
    <w:rsid w:val="004235EE"/>
    <w:rsid w:val="00423782"/>
    <w:rsid w:val="00423AE9"/>
    <w:rsid w:val="00424B17"/>
    <w:rsid w:val="00424CC9"/>
    <w:rsid w:val="00424E61"/>
    <w:rsid w:val="00424FD6"/>
    <w:rsid w:val="004259E2"/>
    <w:rsid w:val="00426176"/>
    <w:rsid w:val="00426699"/>
    <w:rsid w:val="00426865"/>
    <w:rsid w:val="00426979"/>
    <w:rsid w:val="00426CA0"/>
    <w:rsid w:val="00427460"/>
    <w:rsid w:val="0042747D"/>
    <w:rsid w:val="004277E6"/>
    <w:rsid w:val="0043061B"/>
    <w:rsid w:val="00430622"/>
    <w:rsid w:val="004306B1"/>
    <w:rsid w:val="004311CE"/>
    <w:rsid w:val="0043166B"/>
    <w:rsid w:val="00431AC1"/>
    <w:rsid w:val="00432273"/>
    <w:rsid w:val="004322D7"/>
    <w:rsid w:val="00432468"/>
    <w:rsid w:val="00432796"/>
    <w:rsid w:val="00432989"/>
    <w:rsid w:val="004329C9"/>
    <w:rsid w:val="00432C23"/>
    <w:rsid w:val="00432CD5"/>
    <w:rsid w:val="00432D2B"/>
    <w:rsid w:val="00433AF2"/>
    <w:rsid w:val="00433CFE"/>
    <w:rsid w:val="00434450"/>
    <w:rsid w:val="00434AAB"/>
    <w:rsid w:val="00434F05"/>
    <w:rsid w:val="00435592"/>
    <w:rsid w:val="00435AC8"/>
    <w:rsid w:val="00435F06"/>
    <w:rsid w:val="004363FA"/>
    <w:rsid w:val="004364CC"/>
    <w:rsid w:val="00436B89"/>
    <w:rsid w:val="00437AC3"/>
    <w:rsid w:val="00437D2B"/>
    <w:rsid w:val="004405B0"/>
    <w:rsid w:val="00440CCD"/>
    <w:rsid w:val="00440D3E"/>
    <w:rsid w:val="004417BD"/>
    <w:rsid w:val="00441A35"/>
    <w:rsid w:val="00441FF9"/>
    <w:rsid w:val="00442A49"/>
    <w:rsid w:val="004431A8"/>
    <w:rsid w:val="004431D7"/>
    <w:rsid w:val="0044363A"/>
    <w:rsid w:val="004436E9"/>
    <w:rsid w:val="004437B2"/>
    <w:rsid w:val="0044382F"/>
    <w:rsid w:val="00443DE8"/>
    <w:rsid w:val="0044408A"/>
    <w:rsid w:val="004442EB"/>
    <w:rsid w:val="004443A5"/>
    <w:rsid w:val="00444C64"/>
    <w:rsid w:val="0044507C"/>
    <w:rsid w:val="00445DF5"/>
    <w:rsid w:val="00450EB4"/>
    <w:rsid w:val="004510A4"/>
    <w:rsid w:val="004510D8"/>
    <w:rsid w:val="0045135E"/>
    <w:rsid w:val="0045137F"/>
    <w:rsid w:val="00451544"/>
    <w:rsid w:val="00452683"/>
    <w:rsid w:val="004535B0"/>
    <w:rsid w:val="00453A9A"/>
    <w:rsid w:val="00453E31"/>
    <w:rsid w:val="00454597"/>
    <w:rsid w:val="004548E6"/>
    <w:rsid w:val="0045493D"/>
    <w:rsid w:val="004552F4"/>
    <w:rsid w:val="0045541F"/>
    <w:rsid w:val="0045543A"/>
    <w:rsid w:val="0045561A"/>
    <w:rsid w:val="004556D9"/>
    <w:rsid w:val="004561F9"/>
    <w:rsid w:val="0045637C"/>
    <w:rsid w:val="004566F5"/>
    <w:rsid w:val="0045695D"/>
    <w:rsid w:val="00457E92"/>
    <w:rsid w:val="00460096"/>
    <w:rsid w:val="004610C6"/>
    <w:rsid w:val="00461BF2"/>
    <w:rsid w:val="00463416"/>
    <w:rsid w:val="00463869"/>
    <w:rsid w:val="00463CF9"/>
    <w:rsid w:val="00463EAF"/>
    <w:rsid w:val="00464A9C"/>
    <w:rsid w:val="00464E8F"/>
    <w:rsid w:val="00464F23"/>
    <w:rsid w:val="004657B3"/>
    <w:rsid w:val="004660F5"/>
    <w:rsid w:val="00466830"/>
    <w:rsid w:val="00466C93"/>
    <w:rsid w:val="00467567"/>
    <w:rsid w:val="00467BC2"/>
    <w:rsid w:val="00467C44"/>
    <w:rsid w:val="00467CFB"/>
    <w:rsid w:val="00470418"/>
    <w:rsid w:val="00471E81"/>
    <w:rsid w:val="004724AF"/>
    <w:rsid w:val="004724E2"/>
    <w:rsid w:val="004727C4"/>
    <w:rsid w:val="004727E8"/>
    <w:rsid w:val="00472FFE"/>
    <w:rsid w:val="0047322A"/>
    <w:rsid w:val="00473379"/>
    <w:rsid w:val="0047352D"/>
    <w:rsid w:val="004743CB"/>
    <w:rsid w:val="00474B50"/>
    <w:rsid w:val="0047652F"/>
    <w:rsid w:val="00476FE9"/>
    <w:rsid w:val="00477BD1"/>
    <w:rsid w:val="00477FAF"/>
    <w:rsid w:val="0048027B"/>
    <w:rsid w:val="004807AC"/>
    <w:rsid w:val="00481272"/>
    <w:rsid w:val="00481638"/>
    <w:rsid w:val="004817B5"/>
    <w:rsid w:val="00481E94"/>
    <w:rsid w:val="00482199"/>
    <w:rsid w:val="0048231B"/>
    <w:rsid w:val="00482478"/>
    <w:rsid w:val="004826FF"/>
    <w:rsid w:val="00482CCF"/>
    <w:rsid w:val="004830D2"/>
    <w:rsid w:val="00483131"/>
    <w:rsid w:val="00483170"/>
    <w:rsid w:val="0048383D"/>
    <w:rsid w:val="004851E8"/>
    <w:rsid w:val="00485580"/>
    <w:rsid w:val="00485811"/>
    <w:rsid w:val="00485E3C"/>
    <w:rsid w:val="00485F89"/>
    <w:rsid w:val="00486A68"/>
    <w:rsid w:val="00486B09"/>
    <w:rsid w:val="00487CFA"/>
    <w:rsid w:val="004901CA"/>
    <w:rsid w:val="00490A10"/>
    <w:rsid w:val="00490A62"/>
    <w:rsid w:val="00490E9E"/>
    <w:rsid w:val="00491F9F"/>
    <w:rsid w:val="004920D9"/>
    <w:rsid w:val="0049242A"/>
    <w:rsid w:val="00492735"/>
    <w:rsid w:val="00492B25"/>
    <w:rsid w:val="00492EC7"/>
    <w:rsid w:val="004930B8"/>
    <w:rsid w:val="00493C96"/>
    <w:rsid w:val="00494932"/>
    <w:rsid w:val="00494FC9"/>
    <w:rsid w:val="00494FF0"/>
    <w:rsid w:val="004950F8"/>
    <w:rsid w:val="00495192"/>
    <w:rsid w:val="00495211"/>
    <w:rsid w:val="004956F2"/>
    <w:rsid w:val="00495B23"/>
    <w:rsid w:val="00496AD4"/>
    <w:rsid w:val="004970B6"/>
    <w:rsid w:val="00497B89"/>
    <w:rsid w:val="004A0324"/>
    <w:rsid w:val="004A034D"/>
    <w:rsid w:val="004A0C25"/>
    <w:rsid w:val="004A0E76"/>
    <w:rsid w:val="004A1222"/>
    <w:rsid w:val="004A15F4"/>
    <w:rsid w:val="004A1EA2"/>
    <w:rsid w:val="004A201B"/>
    <w:rsid w:val="004A27B0"/>
    <w:rsid w:val="004A2B6F"/>
    <w:rsid w:val="004A3807"/>
    <w:rsid w:val="004A3BB0"/>
    <w:rsid w:val="004A4377"/>
    <w:rsid w:val="004A4D2B"/>
    <w:rsid w:val="004A525D"/>
    <w:rsid w:val="004A52C4"/>
    <w:rsid w:val="004A57EB"/>
    <w:rsid w:val="004A5824"/>
    <w:rsid w:val="004A58D8"/>
    <w:rsid w:val="004A6211"/>
    <w:rsid w:val="004B0095"/>
    <w:rsid w:val="004B05E1"/>
    <w:rsid w:val="004B181D"/>
    <w:rsid w:val="004B1CAB"/>
    <w:rsid w:val="004B36ED"/>
    <w:rsid w:val="004B3956"/>
    <w:rsid w:val="004B398F"/>
    <w:rsid w:val="004B3A1F"/>
    <w:rsid w:val="004B3D44"/>
    <w:rsid w:val="004B41B5"/>
    <w:rsid w:val="004B4812"/>
    <w:rsid w:val="004B50AB"/>
    <w:rsid w:val="004B57A6"/>
    <w:rsid w:val="004B612E"/>
    <w:rsid w:val="004B623B"/>
    <w:rsid w:val="004B63F2"/>
    <w:rsid w:val="004B676E"/>
    <w:rsid w:val="004B677A"/>
    <w:rsid w:val="004C04A8"/>
    <w:rsid w:val="004C1315"/>
    <w:rsid w:val="004C1BAB"/>
    <w:rsid w:val="004C2155"/>
    <w:rsid w:val="004C21B7"/>
    <w:rsid w:val="004C2939"/>
    <w:rsid w:val="004C2A81"/>
    <w:rsid w:val="004C3D69"/>
    <w:rsid w:val="004C3E02"/>
    <w:rsid w:val="004C3EE4"/>
    <w:rsid w:val="004C4010"/>
    <w:rsid w:val="004C422D"/>
    <w:rsid w:val="004C4CEB"/>
    <w:rsid w:val="004C5853"/>
    <w:rsid w:val="004C5CF1"/>
    <w:rsid w:val="004C66A9"/>
    <w:rsid w:val="004C6D8E"/>
    <w:rsid w:val="004C7A27"/>
    <w:rsid w:val="004C7CAC"/>
    <w:rsid w:val="004C7CE4"/>
    <w:rsid w:val="004D000F"/>
    <w:rsid w:val="004D0551"/>
    <w:rsid w:val="004D0C22"/>
    <w:rsid w:val="004D0D3E"/>
    <w:rsid w:val="004D0FF9"/>
    <w:rsid w:val="004D28EF"/>
    <w:rsid w:val="004D2A4E"/>
    <w:rsid w:val="004D3733"/>
    <w:rsid w:val="004D3E79"/>
    <w:rsid w:val="004D3EA7"/>
    <w:rsid w:val="004D4AE0"/>
    <w:rsid w:val="004D4D01"/>
    <w:rsid w:val="004D5A88"/>
    <w:rsid w:val="004D69A2"/>
    <w:rsid w:val="004D6D16"/>
    <w:rsid w:val="004D6D2E"/>
    <w:rsid w:val="004D75E2"/>
    <w:rsid w:val="004D7BF4"/>
    <w:rsid w:val="004D7C92"/>
    <w:rsid w:val="004E0471"/>
    <w:rsid w:val="004E0A57"/>
    <w:rsid w:val="004E0E95"/>
    <w:rsid w:val="004E0FDE"/>
    <w:rsid w:val="004E19BA"/>
    <w:rsid w:val="004E1AF8"/>
    <w:rsid w:val="004E23D0"/>
    <w:rsid w:val="004E35BF"/>
    <w:rsid w:val="004E38A2"/>
    <w:rsid w:val="004E38B2"/>
    <w:rsid w:val="004E3936"/>
    <w:rsid w:val="004E397D"/>
    <w:rsid w:val="004E41C6"/>
    <w:rsid w:val="004E45B6"/>
    <w:rsid w:val="004E56EA"/>
    <w:rsid w:val="004E57F7"/>
    <w:rsid w:val="004E58E4"/>
    <w:rsid w:val="004E5D9C"/>
    <w:rsid w:val="004E675B"/>
    <w:rsid w:val="004E6B8E"/>
    <w:rsid w:val="004E6E2E"/>
    <w:rsid w:val="004E75CB"/>
    <w:rsid w:val="004F0543"/>
    <w:rsid w:val="004F056B"/>
    <w:rsid w:val="004F0DDD"/>
    <w:rsid w:val="004F114F"/>
    <w:rsid w:val="004F1E2E"/>
    <w:rsid w:val="004F25B7"/>
    <w:rsid w:val="004F3068"/>
    <w:rsid w:val="004F49DD"/>
    <w:rsid w:val="004F4ACD"/>
    <w:rsid w:val="004F578B"/>
    <w:rsid w:val="004F5D6F"/>
    <w:rsid w:val="004F63F8"/>
    <w:rsid w:val="004F713A"/>
    <w:rsid w:val="004F728C"/>
    <w:rsid w:val="004F72AD"/>
    <w:rsid w:val="004F7408"/>
    <w:rsid w:val="004F7B92"/>
    <w:rsid w:val="00500035"/>
    <w:rsid w:val="00500BDE"/>
    <w:rsid w:val="00500E97"/>
    <w:rsid w:val="00500F7A"/>
    <w:rsid w:val="005011A4"/>
    <w:rsid w:val="005012AD"/>
    <w:rsid w:val="00501CDD"/>
    <w:rsid w:val="00501F97"/>
    <w:rsid w:val="0050241C"/>
    <w:rsid w:val="005027BB"/>
    <w:rsid w:val="0050319C"/>
    <w:rsid w:val="005037E1"/>
    <w:rsid w:val="00503A18"/>
    <w:rsid w:val="00503B5C"/>
    <w:rsid w:val="00503B96"/>
    <w:rsid w:val="0050456A"/>
    <w:rsid w:val="00505E1D"/>
    <w:rsid w:val="005068E1"/>
    <w:rsid w:val="00506C12"/>
    <w:rsid w:val="00506CE0"/>
    <w:rsid w:val="005070EA"/>
    <w:rsid w:val="0050728A"/>
    <w:rsid w:val="0050760D"/>
    <w:rsid w:val="005077C5"/>
    <w:rsid w:val="0050796D"/>
    <w:rsid w:val="00510870"/>
    <w:rsid w:val="005110BA"/>
    <w:rsid w:val="0051168A"/>
    <w:rsid w:val="00511823"/>
    <w:rsid w:val="00511DFB"/>
    <w:rsid w:val="00512085"/>
    <w:rsid w:val="005122F4"/>
    <w:rsid w:val="005141DA"/>
    <w:rsid w:val="005143FB"/>
    <w:rsid w:val="00514E36"/>
    <w:rsid w:val="005156A6"/>
    <w:rsid w:val="00515ABC"/>
    <w:rsid w:val="00516393"/>
    <w:rsid w:val="00520B4F"/>
    <w:rsid w:val="005215EF"/>
    <w:rsid w:val="00522423"/>
    <w:rsid w:val="00522A54"/>
    <w:rsid w:val="00522CDA"/>
    <w:rsid w:val="00522DB0"/>
    <w:rsid w:val="00523306"/>
    <w:rsid w:val="0052367E"/>
    <w:rsid w:val="00523B66"/>
    <w:rsid w:val="00523F51"/>
    <w:rsid w:val="00524016"/>
    <w:rsid w:val="005244A4"/>
    <w:rsid w:val="00524AD7"/>
    <w:rsid w:val="00525727"/>
    <w:rsid w:val="00525B43"/>
    <w:rsid w:val="0052639A"/>
    <w:rsid w:val="00526477"/>
    <w:rsid w:val="00526691"/>
    <w:rsid w:val="00527E19"/>
    <w:rsid w:val="0053027E"/>
    <w:rsid w:val="00530755"/>
    <w:rsid w:val="0053076D"/>
    <w:rsid w:val="0053133D"/>
    <w:rsid w:val="005313F7"/>
    <w:rsid w:val="00531F39"/>
    <w:rsid w:val="00532607"/>
    <w:rsid w:val="00532767"/>
    <w:rsid w:val="005328BA"/>
    <w:rsid w:val="00533920"/>
    <w:rsid w:val="00533DC4"/>
    <w:rsid w:val="0053480E"/>
    <w:rsid w:val="00534CB1"/>
    <w:rsid w:val="00534ED5"/>
    <w:rsid w:val="00535324"/>
    <w:rsid w:val="0053540E"/>
    <w:rsid w:val="00535521"/>
    <w:rsid w:val="0053574C"/>
    <w:rsid w:val="00535969"/>
    <w:rsid w:val="00535F4E"/>
    <w:rsid w:val="005371C4"/>
    <w:rsid w:val="0053749F"/>
    <w:rsid w:val="0054125E"/>
    <w:rsid w:val="005419F2"/>
    <w:rsid w:val="0054209B"/>
    <w:rsid w:val="0054216F"/>
    <w:rsid w:val="005422EB"/>
    <w:rsid w:val="0054294B"/>
    <w:rsid w:val="00542969"/>
    <w:rsid w:val="00542D37"/>
    <w:rsid w:val="00542F18"/>
    <w:rsid w:val="00543157"/>
    <w:rsid w:val="00543397"/>
    <w:rsid w:val="005439A1"/>
    <w:rsid w:val="00543C00"/>
    <w:rsid w:val="00544492"/>
    <w:rsid w:val="00544853"/>
    <w:rsid w:val="00544984"/>
    <w:rsid w:val="005450E2"/>
    <w:rsid w:val="00545264"/>
    <w:rsid w:val="005452E2"/>
    <w:rsid w:val="0054549F"/>
    <w:rsid w:val="005456F8"/>
    <w:rsid w:val="0054750F"/>
    <w:rsid w:val="0054786F"/>
    <w:rsid w:val="00547AC8"/>
    <w:rsid w:val="00547BE4"/>
    <w:rsid w:val="0055086B"/>
    <w:rsid w:val="005508E3"/>
    <w:rsid w:val="00550A28"/>
    <w:rsid w:val="00550D43"/>
    <w:rsid w:val="00550DD7"/>
    <w:rsid w:val="005512D5"/>
    <w:rsid w:val="00551350"/>
    <w:rsid w:val="0055175A"/>
    <w:rsid w:val="00551DEC"/>
    <w:rsid w:val="00552096"/>
    <w:rsid w:val="005523F9"/>
    <w:rsid w:val="0055245B"/>
    <w:rsid w:val="0055255F"/>
    <w:rsid w:val="00552717"/>
    <w:rsid w:val="00552D55"/>
    <w:rsid w:val="00553D54"/>
    <w:rsid w:val="00553F9F"/>
    <w:rsid w:val="005545E0"/>
    <w:rsid w:val="00554CB6"/>
    <w:rsid w:val="00554FC3"/>
    <w:rsid w:val="00555523"/>
    <w:rsid w:val="00555E0D"/>
    <w:rsid w:val="00556796"/>
    <w:rsid w:val="00556E02"/>
    <w:rsid w:val="0055764E"/>
    <w:rsid w:val="0055783F"/>
    <w:rsid w:val="00557CF4"/>
    <w:rsid w:val="00560528"/>
    <w:rsid w:val="00560A5E"/>
    <w:rsid w:val="00560D92"/>
    <w:rsid w:val="00560FD4"/>
    <w:rsid w:val="00561923"/>
    <w:rsid w:val="0056310A"/>
    <w:rsid w:val="00563C49"/>
    <w:rsid w:val="00564AD0"/>
    <w:rsid w:val="00565AC1"/>
    <w:rsid w:val="00567A04"/>
    <w:rsid w:val="00567F76"/>
    <w:rsid w:val="00570239"/>
    <w:rsid w:val="005704CB"/>
    <w:rsid w:val="00570D7F"/>
    <w:rsid w:val="005710A9"/>
    <w:rsid w:val="00571D59"/>
    <w:rsid w:val="00572E3E"/>
    <w:rsid w:val="00573335"/>
    <w:rsid w:val="00573619"/>
    <w:rsid w:val="005737F5"/>
    <w:rsid w:val="00573EE9"/>
    <w:rsid w:val="005741C2"/>
    <w:rsid w:val="00574209"/>
    <w:rsid w:val="0057420B"/>
    <w:rsid w:val="0057574C"/>
    <w:rsid w:val="00575951"/>
    <w:rsid w:val="00576330"/>
    <w:rsid w:val="00576566"/>
    <w:rsid w:val="00577E70"/>
    <w:rsid w:val="00577FBB"/>
    <w:rsid w:val="005800F5"/>
    <w:rsid w:val="00580280"/>
    <w:rsid w:val="0058031C"/>
    <w:rsid w:val="0058135A"/>
    <w:rsid w:val="005815FE"/>
    <w:rsid w:val="005817FD"/>
    <w:rsid w:val="00581EDE"/>
    <w:rsid w:val="00582165"/>
    <w:rsid w:val="00582C36"/>
    <w:rsid w:val="00583FDC"/>
    <w:rsid w:val="00584058"/>
    <w:rsid w:val="005847E2"/>
    <w:rsid w:val="00585571"/>
    <w:rsid w:val="005855F8"/>
    <w:rsid w:val="00585991"/>
    <w:rsid w:val="00585B91"/>
    <w:rsid w:val="00585D45"/>
    <w:rsid w:val="00586BF1"/>
    <w:rsid w:val="005872CC"/>
    <w:rsid w:val="0058745C"/>
    <w:rsid w:val="005903E4"/>
    <w:rsid w:val="00590954"/>
    <w:rsid w:val="00591256"/>
    <w:rsid w:val="005917DF"/>
    <w:rsid w:val="00592264"/>
    <w:rsid w:val="00592899"/>
    <w:rsid w:val="00592A40"/>
    <w:rsid w:val="00593386"/>
    <w:rsid w:val="00593604"/>
    <w:rsid w:val="005941FC"/>
    <w:rsid w:val="0059424C"/>
    <w:rsid w:val="005943AE"/>
    <w:rsid w:val="0059442B"/>
    <w:rsid w:val="00594826"/>
    <w:rsid w:val="00594881"/>
    <w:rsid w:val="00594884"/>
    <w:rsid w:val="005950D6"/>
    <w:rsid w:val="00595486"/>
    <w:rsid w:val="005958D0"/>
    <w:rsid w:val="00595CBB"/>
    <w:rsid w:val="005962B6"/>
    <w:rsid w:val="005964BF"/>
    <w:rsid w:val="00596B9C"/>
    <w:rsid w:val="00596ED3"/>
    <w:rsid w:val="0059751C"/>
    <w:rsid w:val="0059786C"/>
    <w:rsid w:val="00597919"/>
    <w:rsid w:val="005A0506"/>
    <w:rsid w:val="005A0861"/>
    <w:rsid w:val="005A0B9F"/>
    <w:rsid w:val="005A0C48"/>
    <w:rsid w:val="005A0D08"/>
    <w:rsid w:val="005A0D31"/>
    <w:rsid w:val="005A2FCE"/>
    <w:rsid w:val="005A3ACA"/>
    <w:rsid w:val="005A3B1B"/>
    <w:rsid w:val="005A42FD"/>
    <w:rsid w:val="005A4707"/>
    <w:rsid w:val="005A496B"/>
    <w:rsid w:val="005A4B19"/>
    <w:rsid w:val="005A4FF1"/>
    <w:rsid w:val="005A5171"/>
    <w:rsid w:val="005A5D1A"/>
    <w:rsid w:val="005A6089"/>
    <w:rsid w:val="005A63D8"/>
    <w:rsid w:val="005A669B"/>
    <w:rsid w:val="005A66D4"/>
    <w:rsid w:val="005A6E11"/>
    <w:rsid w:val="005A73D7"/>
    <w:rsid w:val="005A7DBE"/>
    <w:rsid w:val="005B009D"/>
    <w:rsid w:val="005B021B"/>
    <w:rsid w:val="005B075B"/>
    <w:rsid w:val="005B0A62"/>
    <w:rsid w:val="005B0AEE"/>
    <w:rsid w:val="005B1082"/>
    <w:rsid w:val="005B1DFA"/>
    <w:rsid w:val="005B1EB5"/>
    <w:rsid w:val="005B2C3A"/>
    <w:rsid w:val="005B32CE"/>
    <w:rsid w:val="005B33DC"/>
    <w:rsid w:val="005B34EE"/>
    <w:rsid w:val="005B3568"/>
    <w:rsid w:val="005B3606"/>
    <w:rsid w:val="005B38B6"/>
    <w:rsid w:val="005B446E"/>
    <w:rsid w:val="005B49B6"/>
    <w:rsid w:val="005B4D55"/>
    <w:rsid w:val="005B5D5E"/>
    <w:rsid w:val="005B5FDA"/>
    <w:rsid w:val="005B68A7"/>
    <w:rsid w:val="005B6AD2"/>
    <w:rsid w:val="005B6E36"/>
    <w:rsid w:val="005B74C5"/>
    <w:rsid w:val="005B7733"/>
    <w:rsid w:val="005B7976"/>
    <w:rsid w:val="005B7A22"/>
    <w:rsid w:val="005C00C1"/>
    <w:rsid w:val="005C047D"/>
    <w:rsid w:val="005C0602"/>
    <w:rsid w:val="005C0BF0"/>
    <w:rsid w:val="005C12A6"/>
    <w:rsid w:val="005C1D73"/>
    <w:rsid w:val="005C2114"/>
    <w:rsid w:val="005C2362"/>
    <w:rsid w:val="005C25DD"/>
    <w:rsid w:val="005C2AB0"/>
    <w:rsid w:val="005C2E28"/>
    <w:rsid w:val="005C3015"/>
    <w:rsid w:val="005C3069"/>
    <w:rsid w:val="005C343C"/>
    <w:rsid w:val="005C37F5"/>
    <w:rsid w:val="005C3BD3"/>
    <w:rsid w:val="005C40C7"/>
    <w:rsid w:val="005C42B0"/>
    <w:rsid w:val="005C4A96"/>
    <w:rsid w:val="005C4C7F"/>
    <w:rsid w:val="005C57C8"/>
    <w:rsid w:val="005C63FA"/>
    <w:rsid w:val="005C6F54"/>
    <w:rsid w:val="005C75D1"/>
    <w:rsid w:val="005C773A"/>
    <w:rsid w:val="005C7C28"/>
    <w:rsid w:val="005D0512"/>
    <w:rsid w:val="005D058E"/>
    <w:rsid w:val="005D082B"/>
    <w:rsid w:val="005D0976"/>
    <w:rsid w:val="005D097F"/>
    <w:rsid w:val="005D0E7C"/>
    <w:rsid w:val="005D10BA"/>
    <w:rsid w:val="005D1576"/>
    <w:rsid w:val="005D1762"/>
    <w:rsid w:val="005D1D9F"/>
    <w:rsid w:val="005D2217"/>
    <w:rsid w:val="005D2667"/>
    <w:rsid w:val="005D3EBB"/>
    <w:rsid w:val="005D42B4"/>
    <w:rsid w:val="005D4CF7"/>
    <w:rsid w:val="005D51D9"/>
    <w:rsid w:val="005D5347"/>
    <w:rsid w:val="005D5634"/>
    <w:rsid w:val="005D570F"/>
    <w:rsid w:val="005D5CC5"/>
    <w:rsid w:val="005D5DCA"/>
    <w:rsid w:val="005D5E85"/>
    <w:rsid w:val="005D63B4"/>
    <w:rsid w:val="005D6732"/>
    <w:rsid w:val="005D787B"/>
    <w:rsid w:val="005D7E93"/>
    <w:rsid w:val="005E0949"/>
    <w:rsid w:val="005E12BE"/>
    <w:rsid w:val="005E1467"/>
    <w:rsid w:val="005E241F"/>
    <w:rsid w:val="005E281B"/>
    <w:rsid w:val="005E3154"/>
    <w:rsid w:val="005E3DF8"/>
    <w:rsid w:val="005E43B5"/>
    <w:rsid w:val="005E4660"/>
    <w:rsid w:val="005E4F66"/>
    <w:rsid w:val="005E515C"/>
    <w:rsid w:val="005E6499"/>
    <w:rsid w:val="005E6505"/>
    <w:rsid w:val="005E75E3"/>
    <w:rsid w:val="005E7ECD"/>
    <w:rsid w:val="005F0215"/>
    <w:rsid w:val="005F1267"/>
    <w:rsid w:val="005F1D43"/>
    <w:rsid w:val="005F2AC1"/>
    <w:rsid w:val="005F2EA8"/>
    <w:rsid w:val="005F322F"/>
    <w:rsid w:val="005F3322"/>
    <w:rsid w:val="005F3751"/>
    <w:rsid w:val="005F3EC3"/>
    <w:rsid w:val="005F4136"/>
    <w:rsid w:val="005F446D"/>
    <w:rsid w:val="005F584B"/>
    <w:rsid w:val="005F64C6"/>
    <w:rsid w:val="005F76FB"/>
    <w:rsid w:val="005F784D"/>
    <w:rsid w:val="005F7A0B"/>
    <w:rsid w:val="005F7DAE"/>
    <w:rsid w:val="0060081A"/>
    <w:rsid w:val="006008F1"/>
    <w:rsid w:val="00600C01"/>
    <w:rsid w:val="00601735"/>
    <w:rsid w:val="00601BE4"/>
    <w:rsid w:val="006025F2"/>
    <w:rsid w:val="00602AC4"/>
    <w:rsid w:val="00602B46"/>
    <w:rsid w:val="00602BD2"/>
    <w:rsid w:val="006034BF"/>
    <w:rsid w:val="006039B8"/>
    <w:rsid w:val="00604B87"/>
    <w:rsid w:val="00605275"/>
    <w:rsid w:val="00605529"/>
    <w:rsid w:val="00605A73"/>
    <w:rsid w:val="00605CAB"/>
    <w:rsid w:val="00605DAE"/>
    <w:rsid w:val="00605DB9"/>
    <w:rsid w:val="0060650E"/>
    <w:rsid w:val="006065CF"/>
    <w:rsid w:val="00606E5D"/>
    <w:rsid w:val="006075BE"/>
    <w:rsid w:val="006076EF"/>
    <w:rsid w:val="006079C8"/>
    <w:rsid w:val="00607C70"/>
    <w:rsid w:val="00610F39"/>
    <w:rsid w:val="00611079"/>
    <w:rsid w:val="00612E59"/>
    <w:rsid w:val="0061315B"/>
    <w:rsid w:val="00613648"/>
    <w:rsid w:val="00613C12"/>
    <w:rsid w:val="00613C47"/>
    <w:rsid w:val="00614071"/>
    <w:rsid w:val="00614292"/>
    <w:rsid w:val="006148AC"/>
    <w:rsid w:val="00615654"/>
    <w:rsid w:val="00616201"/>
    <w:rsid w:val="00616225"/>
    <w:rsid w:val="00616C1C"/>
    <w:rsid w:val="00616D5E"/>
    <w:rsid w:val="00616EEC"/>
    <w:rsid w:val="00617270"/>
    <w:rsid w:val="00617A8B"/>
    <w:rsid w:val="00617C23"/>
    <w:rsid w:val="006200B8"/>
    <w:rsid w:val="0062040C"/>
    <w:rsid w:val="00620422"/>
    <w:rsid w:val="00620A9B"/>
    <w:rsid w:val="006219E3"/>
    <w:rsid w:val="0062224C"/>
    <w:rsid w:val="00622FEA"/>
    <w:rsid w:val="006237D6"/>
    <w:rsid w:val="006237EE"/>
    <w:rsid w:val="006238B2"/>
    <w:rsid w:val="00623B67"/>
    <w:rsid w:val="00623CDF"/>
    <w:rsid w:val="00623DB1"/>
    <w:rsid w:val="00623E78"/>
    <w:rsid w:val="006241D2"/>
    <w:rsid w:val="006245F3"/>
    <w:rsid w:val="00624B63"/>
    <w:rsid w:val="00624E6F"/>
    <w:rsid w:val="0062529D"/>
    <w:rsid w:val="006252E6"/>
    <w:rsid w:val="0062552F"/>
    <w:rsid w:val="00625B47"/>
    <w:rsid w:val="006267E8"/>
    <w:rsid w:val="00626A11"/>
    <w:rsid w:val="00626BE7"/>
    <w:rsid w:val="0062726B"/>
    <w:rsid w:val="00627353"/>
    <w:rsid w:val="00627ED6"/>
    <w:rsid w:val="006304D2"/>
    <w:rsid w:val="00630C76"/>
    <w:rsid w:val="006319CA"/>
    <w:rsid w:val="00633107"/>
    <w:rsid w:val="00634932"/>
    <w:rsid w:val="00634CD1"/>
    <w:rsid w:val="00634E71"/>
    <w:rsid w:val="00634EC0"/>
    <w:rsid w:val="00635233"/>
    <w:rsid w:val="0063627F"/>
    <w:rsid w:val="006362FE"/>
    <w:rsid w:val="006364D6"/>
    <w:rsid w:val="006370A6"/>
    <w:rsid w:val="00637A76"/>
    <w:rsid w:val="00637EE5"/>
    <w:rsid w:val="00640E07"/>
    <w:rsid w:val="006411E4"/>
    <w:rsid w:val="006412A5"/>
    <w:rsid w:val="0064140B"/>
    <w:rsid w:val="006419A2"/>
    <w:rsid w:val="0064266A"/>
    <w:rsid w:val="00642D72"/>
    <w:rsid w:val="006431BC"/>
    <w:rsid w:val="00643671"/>
    <w:rsid w:val="00643819"/>
    <w:rsid w:val="00643B4C"/>
    <w:rsid w:val="00643F85"/>
    <w:rsid w:val="006443CB"/>
    <w:rsid w:val="00644A19"/>
    <w:rsid w:val="00644B55"/>
    <w:rsid w:val="00644F80"/>
    <w:rsid w:val="00645874"/>
    <w:rsid w:val="006478DA"/>
    <w:rsid w:val="006479E0"/>
    <w:rsid w:val="00647A43"/>
    <w:rsid w:val="00647F7B"/>
    <w:rsid w:val="0065074A"/>
    <w:rsid w:val="00651E96"/>
    <w:rsid w:val="00652423"/>
    <w:rsid w:val="006533F3"/>
    <w:rsid w:val="00653579"/>
    <w:rsid w:val="00653F6B"/>
    <w:rsid w:val="00653FE6"/>
    <w:rsid w:val="0065446A"/>
    <w:rsid w:val="00654C11"/>
    <w:rsid w:val="006551F6"/>
    <w:rsid w:val="0065552B"/>
    <w:rsid w:val="006558F8"/>
    <w:rsid w:val="00656662"/>
    <w:rsid w:val="006566ED"/>
    <w:rsid w:val="00656B4B"/>
    <w:rsid w:val="00660024"/>
    <w:rsid w:val="00660B46"/>
    <w:rsid w:val="00660F6F"/>
    <w:rsid w:val="00661918"/>
    <w:rsid w:val="0066199E"/>
    <w:rsid w:val="00661CD2"/>
    <w:rsid w:val="00661F08"/>
    <w:rsid w:val="00662130"/>
    <w:rsid w:val="00662A5A"/>
    <w:rsid w:val="00662B7E"/>
    <w:rsid w:val="00662F7D"/>
    <w:rsid w:val="0066318E"/>
    <w:rsid w:val="006647A9"/>
    <w:rsid w:val="00664875"/>
    <w:rsid w:val="006649BD"/>
    <w:rsid w:val="00664CE3"/>
    <w:rsid w:val="006650F7"/>
    <w:rsid w:val="006653D7"/>
    <w:rsid w:val="006654F3"/>
    <w:rsid w:val="00665F5E"/>
    <w:rsid w:val="00666091"/>
    <w:rsid w:val="0066657E"/>
    <w:rsid w:val="006665BA"/>
    <w:rsid w:val="006665FE"/>
    <w:rsid w:val="00666A4F"/>
    <w:rsid w:val="00667106"/>
    <w:rsid w:val="006703AA"/>
    <w:rsid w:val="006703D9"/>
    <w:rsid w:val="00670473"/>
    <w:rsid w:val="006704B8"/>
    <w:rsid w:val="006704F6"/>
    <w:rsid w:val="006708EA"/>
    <w:rsid w:val="00671091"/>
    <w:rsid w:val="00671AC7"/>
    <w:rsid w:val="00672569"/>
    <w:rsid w:val="0067281B"/>
    <w:rsid w:val="00672ABB"/>
    <w:rsid w:val="0067426D"/>
    <w:rsid w:val="0067545E"/>
    <w:rsid w:val="00675611"/>
    <w:rsid w:val="00676062"/>
    <w:rsid w:val="00676C72"/>
    <w:rsid w:val="00676E43"/>
    <w:rsid w:val="00677435"/>
    <w:rsid w:val="00677C33"/>
    <w:rsid w:val="00680936"/>
    <w:rsid w:val="00680D8C"/>
    <w:rsid w:val="0068165C"/>
    <w:rsid w:val="006818B4"/>
    <w:rsid w:val="00681B25"/>
    <w:rsid w:val="00681C66"/>
    <w:rsid w:val="006820E0"/>
    <w:rsid w:val="00682221"/>
    <w:rsid w:val="006826B4"/>
    <w:rsid w:val="00682725"/>
    <w:rsid w:val="00682A2D"/>
    <w:rsid w:val="00682D87"/>
    <w:rsid w:val="00683502"/>
    <w:rsid w:val="00683A1C"/>
    <w:rsid w:val="00683C37"/>
    <w:rsid w:val="00684387"/>
    <w:rsid w:val="006845A2"/>
    <w:rsid w:val="006853A4"/>
    <w:rsid w:val="006853C3"/>
    <w:rsid w:val="006862B9"/>
    <w:rsid w:val="00686546"/>
    <w:rsid w:val="006876CE"/>
    <w:rsid w:val="006877FF"/>
    <w:rsid w:val="0068793A"/>
    <w:rsid w:val="00687B34"/>
    <w:rsid w:val="00690781"/>
    <w:rsid w:val="00690B17"/>
    <w:rsid w:val="0069128F"/>
    <w:rsid w:val="00691404"/>
    <w:rsid w:val="00691415"/>
    <w:rsid w:val="00691580"/>
    <w:rsid w:val="00691C9D"/>
    <w:rsid w:val="0069207C"/>
    <w:rsid w:val="006920A6"/>
    <w:rsid w:val="00692582"/>
    <w:rsid w:val="00692FF6"/>
    <w:rsid w:val="006935A7"/>
    <w:rsid w:val="00693652"/>
    <w:rsid w:val="006939E7"/>
    <w:rsid w:val="00693D3E"/>
    <w:rsid w:val="006942F7"/>
    <w:rsid w:val="006943E3"/>
    <w:rsid w:val="00694475"/>
    <w:rsid w:val="00694564"/>
    <w:rsid w:val="00695396"/>
    <w:rsid w:val="006954A0"/>
    <w:rsid w:val="00695620"/>
    <w:rsid w:val="00695659"/>
    <w:rsid w:val="00695D76"/>
    <w:rsid w:val="00695DCE"/>
    <w:rsid w:val="00696A0F"/>
    <w:rsid w:val="006971D2"/>
    <w:rsid w:val="00697AE8"/>
    <w:rsid w:val="00697F01"/>
    <w:rsid w:val="006A017C"/>
    <w:rsid w:val="006A15BA"/>
    <w:rsid w:val="006A1AAE"/>
    <w:rsid w:val="006A1D60"/>
    <w:rsid w:val="006A2150"/>
    <w:rsid w:val="006A241D"/>
    <w:rsid w:val="006A3288"/>
    <w:rsid w:val="006A35A2"/>
    <w:rsid w:val="006A3939"/>
    <w:rsid w:val="006A3C54"/>
    <w:rsid w:val="006A3CB4"/>
    <w:rsid w:val="006A43E6"/>
    <w:rsid w:val="006A45B1"/>
    <w:rsid w:val="006A470C"/>
    <w:rsid w:val="006A4893"/>
    <w:rsid w:val="006A48DC"/>
    <w:rsid w:val="006A4A1E"/>
    <w:rsid w:val="006A4D1D"/>
    <w:rsid w:val="006A4FC1"/>
    <w:rsid w:val="006A50C7"/>
    <w:rsid w:val="006A53B9"/>
    <w:rsid w:val="006A5E28"/>
    <w:rsid w:val="006A5E65"/>
    <w:rsid w:val="006A692E"/>
    <w:rsid w:val="006A6A3A"/>
    <w:rsid w:val="006A6E33"/>
    <w:rsid w:val="006A6E5E"/>
    <w:rsid w:val="006A70BE"/>
    <w:rsid w:val="006A7662"/>
    <w:rsid w:val="006A786D"/>
    <w:rsid w:val="006A7F39"/>
    <w:rsid w:val="006B0121"/>
    <w:rsid w:val="006B0128"/>
    <w:rsid w:val="006B059F"/>
    <w:rsid w:val="006B0BA9"/>
    <w:rsid w:val="006B134D"/>
    <w:rsid w:val="006B182B"/>
    <w:rsid w:val="006B1A20"/>
    <w:rsid w:val="006B1C7C"/>
    <w:rsid w:val="006B1EC8"/>
    <w:rsid w:val="006B2136"/>
    <w:rsid w:val="006B3086"/>
    <w:rsid w:val="006B4547"/>
    <w:rsid w:val="006B63D8"/>
    <w:rsid w:val="006B6F32"/>
    <w:rsid w:val="006B7130"/>
    <w:rsid w:val="006B7D4A"/>
    <w:rsid w:val="006B7EF5"/>
    <w:rsid w:val="006C06F7"/>
    <w:rsid w:val="006C1294"/>
    <w:rsid w:val="006C201C"/>
    <w:rsid w:val="006C397B"/>
    <w:rsid w:val="006C408A"/>
    <w:rsid w:val="006C4150"/>
    <w:rsid w:val="006C4F75"/>
    <w:rsid w:val="006C507B"/>
    <w:rsid w:val="006C5186"/>
    <w:rsid w:val="006C51DA"/>
    <w:rsid w:val="006C5214"/>
    <w:rsid w:val="006C5683"/>
    <w:rsid w:val="006C5E33"/>
    <w:rsid w:val="006C5E48"/>
    <w:rsid w:val="006C6434"/>
    <w:rsid w:val="006C6552"/>
    <w:rsid w:val="006C65CC"/>
    <w:rsid w:val="006C6B08"/>
    <w:rsid w:val="006C6CD8"/>
    <w:rsid w:val="006C6CF4"/>
    <w:rsid w:val="006C6F49"/>
    <w:rsid w:val="006D013F"/>
    <w:rsid w:val="006D017F"/>
    <w:rsid w:val="006D0301"/>
    <w:rsid w:val="006D032D"/>
    <w:rsid w:val="006D08DF"/>
    <w:rsid w:val="006D0A14"/>
    <w:rsid w:val="006D10BF"/>
    <w:rsid w:val="006D1D3F"/>
    <w:rsid w:val="006D20B4"/>
    <w:rsid w:val="006D211A"/>
    <w:rsid w:val="006D2145"/>
    <w:rsid w:val="006D253B"/>
    <w:rsid w:val="006D3441"/>
    <w:rsid w:val="006D35DB"/>
    <w:rsid w:val="006D3C4F"/>
    <w:rsid w:val="006D44D0"/>
    <w:rsid w:val="006D5625"/>
    <w:rsid w:val="006D57CB"/>
    <w:rsid w:val="006D5A82"/>
    <w:rsid w:val="006D5D92"/>
    <w:rsid w:val="006D60EE"/>
    <w:rsid w:val="006D6550"/>
    <w:rsid w:val="006D6CDD"/>
    <w:rsid w:val="006D719D"/>
    <w:rsid w:val="006D7444"/>
    <w:rsid w:val="006E044C"/>
    <w:rsid w:val="006E1267"/>
    <w:rsid w:val="006E2251"/>
    <w:rsid w:val="006E2AF2"/>
    <w:rsid w:val="006E36D4"/>
    <w:rsid w:val="006E3992"/>
    <w:rsid w:val="006E3AAD"/>
    <w:rsid w:val="006E3B5D"/>
    <w:rsid w:val="006E4238"/>
    <w:rsid w:val="006E4239"/>
    <w:rsid w:val="006E447A"/>
    <w:rsid w:val="006E44FC"/>
    <w:rsid w:val="006E4511"/>
    <w:rsid w:val="006E4560"/>
    <w:rsid w:val="006E665F"/>
    <w:rsid w:val="006E6948"/>
    <w:rsid w:val="006E71FE"/>
    <w:rsid w:val="006E720E"/>
    <w:rsid w:val="006E7B97"/>
    <w:rsid w:val="006E7C1C"/>
    <w:rsid w:val="006E7D23"/>
    <w:rsid w:val="006F05FD"/>
    <w:rsid w:val="006F063E"/>
    <w:rsid w:val="006F0800"/>
    <w:rsid w:val="006F0B83"/>
    <w:rsid w:val="006F15F3"/>
    <w:rsid w:val="006F1BBB"/>
    <w:rsid w:val="006F1C92"/>
    <w:rsid w:val="006F2173"/>
    <w:rsid w:val="006F2318"/>
    <w:rsid w:val="006F2550"/>
    <w:rsid w:val="006F2CA3"/>
    <w:rsid w:val="006F3B10"/>
    <w:rsid w:val="006F3EA8"/>
    <w:rsid w:val="006F41BA"/>
    <w:rsid w:val="006F41E7"/>
    <w:rsid w:val="006F4740"/>
    <w:rsid w:val="006F49A7"/>
    <w:rsid w:val="006F568F"/>
    <w:rsid w:val="006F6798"/>
    <w:rsid w:val="006F6D4C"/>
    <w:rsid w:val="006F6E67"/>
    <w:rsid w:val="006F7157"/>
    <w:rsid w:val="006F78E0"/>
    <w:rsid w:val="006F7BF5"/>
    <w:rsid w:val="006F7FE0"/>
    <w:rsid w:val="0070032D"/>
    <w:rsid w:val="00701590"/>
    <w:rsid w:val="00701CF4"/>
    <w:rsid w:val="007020E9"/>
    <w:rsid w:val="00702150"/>
    <w:rsid w:val="00702B1B"/>
    <w:rsid w:val="00702CFE"/>
    <w:rsid w:val="0070395E"/>
    <w:rsid w:val="00704164"/>
    <w:rsid w:val="00704531"/>
    <w:rsid w:val="00704E3D"/>
    <w:rsid w:val="00705031"/>
    <w:rsid w:val="007053D4"/>
    <w:rsid w:val="00706277"/>
    <w:rsid w:val="0070651E"/>
    <w:rsid w:val="00706A58"/>
    <w:rsid w:val="00706C93"/>
    <w:rsid w:val="0070730B"/>
    <w:rsid w:val="00710437"/>
    <w:rsid w:val="00711022"/>
    <w:rsid w:val="007110E1"/>
    <w:rsid w:val="00711CFE"/>
    <w:rsid w:val="00711DED"/>
    <w:rsid w:val="00712584"/>
    <w:rsid w:val="007127F4"/>
    <w:rsid w:val="00713662"/>
    <w:rsid w:val="007139C3"/>
    <w:rsid w:val="00714394"/>
    <w:rsid w:val="007143BC"/>
    <w:rsid w:val="00714C0F"/>
    <w:rsid w:val="00714E44"/>
    <w:rsid w:val="007150B9"/>
    <w:rsid w:val="00715AAC"/>
    <w:rsid w:val="007163F8"/>
    <w:rsid w:val="00716498"/>
    <w:rsid w:val="00716B9D"/>
    <w:rsid w:val="00716D40"/>
    <w:rsid w:val="00716E93"/>
    <w:rsid w:val="0071729C"/>
    <w:rsid w:val="00720A0F"/>
    <w:rsid w:val="00720A60"/>
    <w:rsid w:val="007210F5"/>
    <w:rsid w:val="00721235"/>
    <w:rsid w:val="00721282"/>
    <w:rsid w:val="007213BB"/>
    <w:rsid w:val="00721946"/>
    <w:rsid w:val="00721AFE"/>
    <w:rsid w:val="00721F7E"/>
    <w:rsid w:val="00721FE5"/>
    <w:rsid w:val="0072238C"/>
    <w:rsid w:val="007225B1"/>
    <w:rsid w:val="00722E29"/>
    <w:rsid w:val="007238C5"/>
    <w:rsid w:val="00724606"/>
    <w:rsid w:val="007248E5"/>
    <w:rsid w:val="00724E85"/>
    <w:rsid w:val="00725860"/>
    <w:rsid w:val="00725FAE"/>
    <w:rsid w:val="007266DD"/>
    <w:rsid w:val="00726B00"/>
    <w:rsid w:val="00726DA7"/>
    <w:rsid w:val="00727583"/>
    <w:rsid w:val="00730073"/>
    <w:rsid w:val="00730F89"/>
    <w:rsid w:val="007314D4"/>
    <w:rsid w:val="00732E20"/>
    <w:rsid w:val="00733025"/>
    <w:rsid w:val="00733351"/>
    <w:rsid w:val="007334DC"/>
    <w:rsid w:val="00734887"/>
    <w:rsid w:val="00734994"/>
    <w:rsid w:val="00735BFA"/>
    <w:rsid w:val="0073642E"/>
    <w:rsid w:val="007365B6"/>
    <w:rsid w:val="00736B84"/>
    <w:rsid w:val="00737EBD"/>
    <w:rsid w:val="007401E2"/>
    <w:rsid w:val="0074077D"/>
    <w:rsid w:val="0074081A"/>
    <w:rsid w:val="00740B49"/>
    <w:rsid w:val="00740E33"/>
    <w:rsid w:val="007411E5"/>
    <w:rsid w:val="00741697"/>
    <w:rsid w:val="00742F8A"/>
    <w:rsid w:val="007431CD"/>
    <w:rsid w:val="00743446"/>
    <w:rsid w:val="007443C2"/>
    <w:rsid w:val="007447A4"/>
    <w:rsid w:val="00744FA3"/>
    <w:rsid w:val="00745385"/>
    <w:rsid w:val="00745AE0"/>
    <w:rsid w:val="00746951"/>
    <w:rsid w:val="00747083"/>
    <w:rsid w:val="0074722C"/>
    <w:rsid w:val="0074791E"/>
    <w:rsid w:val="0075001A"/>
    <w:rsid w:val="00750376"/>
    <w:rsid w:val="00750904"/>
    <w:rsid w:val="00750A08"/>
    <w:rsid w:val="00750A66"/>
    <w:rsid w:val="00750B28"/>
    <w:rsid w:val="00750D30"/>
    <w:rsid w:val="0075115D"/>
    <w:rsid w:val="007517F3"/>
    <w:rsid w:val="00751A01"/>
    <w:rsid w:val="007523F2"/>
    <w:rsid w:val="007524D7"/>
    <w:rsid w:val="0075283C"/>
    <w:rsid w:val="00753069"/>
    <w:rsid w:val="0075372E"/>
    <w:rsid w:val="00753890"/>
    <w:rsid w:val="00753B7D"/>
    <w:rsid w:val="00754EEC"/>
    <w:rsid w:val="0075500C"/>
    <w:rsid w:val="0075501A"/>
    <w:rsid w:val="007555DF"/>
    <w:rsid w:val="00755818"/>
    <w:rsid w:val="00755D21"/>
    <w:rsid w:val="00755E75"/>
    <w:rsid w:val="007564E1"/>
    <w:rsid w:val="007565B5"/>
    <w:rsid w:val="00756C43"/>
    <w:rsid w:val="0075775A"/>
    <w:rsid w:val="007600E6"/>
    <w:rsid w:val="00760C40"/>
    <w:rsid w:val="00760D49"/>
    <w:rsid w:val="00761434"/>
    <w:rsid w:val="00761721"/>
    <w:rsid w:val="007618EF"/>
    <w:rsid w:val="00761FD5"/>
    <w:rsid w:val="00763B6C"/>
    <w:rsid w:val="00763DB6"/>
    <w:rsid w:val="00764054"/>
    <w:rsid w:val="00764F70"/>
    <w:rsid w:val="00765CC3"/>
    <w:rsid w:val="00765DD8"/>
    <w:rsid w:val="007666DD"/>
    <w:rsid w:val="007669D3"/>
    <w:rsid w:val="00766D36"/>
    <w:rsid w:val="007673C6"/>
    <w:rsid w:val="00767607"/>
    <w:rsid w:val="00767985"/>
    <w:rsid w:val="007709CB"/>
    <w:rsid w:val="0077158D"/>
    <w:rsid w:val="0077165F"/>
    <w:rsid w:val="00772803"/>
    <w:rsid w:val="00772EDF"/>
    <w:rsid w:val="00772FA4"/>
    <w:rsid w:val="007735C4"/>
    <w:rsid w:val="00773874"/>
    <w:rsid w:val="00773D56"/>
    <w:rsid w:val="0077477A"/>
    <w:rsid w:val="00774BFF"/>
    <w:rsid w:val="00774FDC"/>
    <w:rsid w:val="00775048"/>
    <w:rsid w:val="00775273"/>
    <w:rsid w:val="00775861"/>
    <w:rsid w:val="00775952"/>
    <w:rsid w:val="00775B52"/>
    <w:rsid w:val="00775EED"/>
    <w:rsid w:val="007762C6"/>
    <w:rsid w:val="007765DF"/>
    <w:rsid w:val="007770B9"/>
    <w:rsid w:val="00777117"/>
    <w:rsid w:val="00780A4F"/>
    <w:rsid w:val="00780D88"/>
    <w:rsid w:val="00780F42"/>
    <w:rsid w:val="0078126C"/>
    <w:rsid w:val="00781AD1"/>
    <w:rsid w:val="0078258B"/>
    <w:rsid w:val="00783BCC"/>
    <w:rsid w:val="007840F3"/>
    <w:rsid w:val="00784121"/>
    <w:rsid w:val="007842A0"/>
    <w:rsid w:val="00784315"/>
    <w:rsid w:val="00784B64"/>
    <w:rsid w:val="00784D55"/>
    <w:rsid w:val="00785491"/>
    <w:rsid w:val="007858C0"/>
    <w:rsid w:val="007863BB"/>
    <w:rsid w:val="0078665C"/>
    <w:rsid w:val="0078679A"/>
    <w:rsid w:val="00786E65"/>
    <w:rsid w:val="0078707F"/>
    <w:rsid w:val="0078731C"/>
    <w:rsid w:val="00787678"/>
    <w:rsid w:val="007900CB"/>
    <w:rsid w:val="00790739"/>
    <w:rsid w:val="00790DFB"/>
    <w:rsid w:val="00791B10"/>
    <w:rsid w:val="00791E8B"/>
    <w:rsid w:val="00792447"/>
    <w:rsid w:val="0079251D"/>
    <w:rsid w:val="00792659"/>
    <w:rsid w:val="00792679"/>
    <w:rsid w:val="0079270E"/>
    <w:rsid w:val="00792855"/>
    <w:rsid w:val="007937FD"/>
    <w:rsid w:val="0079439A"/>
    <w:rsid w:val="00794A05"/>
    <w:rsid w:val="007957F4"/>
    <w:rsid w:val="00795B64"/>
    <w:rsid w:val="0079656B"/>
    <w:rsid w:val="0079694C"/>
    <w:rsid w:val="00796DBD"/>
    <w:rsid w:val="00797FAD"/>
    <w:rsid w:val="007A0AF5"/>
    <w:rsid w:val="007A354D"/>
    <w:rsid w:val="007A38D8"/>
    <w:rsid w:val="007A3A64"/>
    <w:rsid w:val="007A3DED"/>
    <w:rsid w:val="007A4C77"/>
    <w:rsid w:val="007A4DEC"/>
    <w:rsid w:val="007A4E17"/>
    <w:rsid w:val="007A520F"/>
    <w:rsid w:val="007A56E3"/>
    <w:rsid w:val="007A5AC1"/>
    <w:rsid w:val="007A5AF4"/>
    <w:rsid w:val="007A641B"/>
    <w:rsid w:val="007A660D"/>
    <w:rsid w:val="007A68DC"/>
    <w:rsid w:val="007A6D0D"/>
    <w:rsid w:val="007A7394"/>
    <w:rsid w:val="007A7EE5"/>
    <w:rsid w:val="007A7F6D"/>
    <w:rsid w:val="007B04A7"/>
    <w:rsid w:val="007B0B2B"/>
    <w:rsid w:val="007B0B61"/>
    <w:rsid w:val="007B0FBD"/>
    <w:rsid w:val="007B172E"/>
    <w:rsid w:val="007B1BAF"/>
    <w:rsid w:val="007B1E34"/>
    <w:rsid w:val="007B2245"/>
    <w:rsid w:val="007B2896"/>
    <w:rsid w:val="007B2CDD"/>
    <w:rsid w:val="007B3154"/>
    <w:rsid w:val="007B35F7"/>
    <w:rsid w:val="007B3948"/>
    <w:rsid w:val="007B3B4C"/>
    <w:rsid w:val="007B41D6"/>
    <w:rsid w:val="007B4F72"/>
    <w:rsid w:val="007B5445"/>
    <w:rsid w:val="007B5C63"/>
    <w:rsid w:val="007B6896"/>
    <w:rsid w:val="007B7764"/>
    <w:rsid w:val="007B79F5"/>
    <w:rsid w:val="007B7BE9"/>
    <w:rsid w:val="007C0A01"/>
    <w:rsid w:val="007C0E04"/>
    <w:rsid w:val="007C123B"/>
    <w:rsid w:val="007C21F1"/>
    <w:rsid w:val="007C24D7"/>
    <w:rsid w:val="007C2827"/>
    <w:rsid w:val="007C2B1F"/>
    <w:rsid w:val="007C3224"/>
    <w:rsid w:val="007C34E5"/>
    <w:rsid w:val="007C3813"/>
    <w:rsid w:val="007C3858"/>
    <w:rsid w:val="007C3A26"/>
    <w:rsid w:val="007C3E6A"/>
    <w:rsid w:val="007C41F0"/>
    <w:rsid w:val="007C42C0"/>
    <w:rsid w:val="007C5029"/>
    <w:rsid w:val="007C543F"/>
    <w:rsid w:val="007C5EF9"/>
    <w:rsid w:val="007C6A99"/>
    <w:rsid w:val="007C6BE3"/>
    <w:rsid w:val="007C6DD2"/>
    <w:rsid w:val="007C6E85"/>
    <w:rsid w:val="007C70A7"/>
    <w:rsid w:val="007C73B0"/>
    <w:rsid w:val="007C74E5"/>
    <w:rsid w:val="007C76FB"/>
    <w:rsid w:val="007D060B"/>
    <w:rsid w:val="007D0E43"/>
    <w:rsid w:val="007D13E7"/>
    <w:rsid w:val="007D1991"/>
    <w:rsid w:val="007D1A65"/>
    <w:rsid w:val="007D1E37"/>
    <w:rsid w:val="007D2037"/>
    <w:rsid w:val="007D232F"/>
    <w:rsid w:val="007D2385"/>
    <w:rsid w:val="007D2E2D"/>
    <w:rsid w:val="007D3D9D"/>
    <w:rsid w:val="007D467A"/>
    <w:rsid w:val="007D4840"/>
    <w:rsid w:val="007D48B3"/>
    <w:rsid w:val="007D4E8D"/>
    <w:rsid w:val="007D563E"/>
    <w:rsid w:val="007D5B51"/>
    <w:rsid w:val="007D5FC1"/>
    <w:rsid w:val="007D6B00"/>
    <w:rsid w:val="007D715A"/>
    <w:rsid w:val="007D740C"/>
    <w:rsid w:val="007E0153"/>
    <w:rsid w:val="007E0E9E"/>
    <w:rsid w:val="007E10A9"/>
    <w:rsid w:val="007E19DC"/>
    <w:rsid w:val="007E21FB"/>
    <w:rsid w:val="007E2347"/>
    <w:rsid w:val="007E26A8"/>
    <w:rsid w:val="007E329D"/>
    <w:rsid w:val="007E39E7"/>
    <w:rsid w:val="007E3AD5"/>
    <w:rsid w:val="007E420B"/>
    <w:rsid w:val="007E47D2"/>
    <w:rsid w:val="007E4932"/>
    <w:rsid w:val="007E49A1"/>
    <w:rsid w:val="007E49D4"/>
    <w:rsid w:val="007E502C"/>
    <w:rsid w:val="007E5153"/>
    <w:rsid w:val="007E5A74"/>
    <w:rsid w:val="007E5BD7"/>
    <w:rsid w:val="007E5F6C"/>
    <w:rsid w:val="007E6023"/>
    <w:rsid w:val="007E6312"/>
    <w:rsid w:val="007E75F0"/>
    <w:rsid w:val="007E76A3"/>
    <w:rsid w:val="007E784A"/>
    <w:rsid w:val="007E7968"/>
    <w:rsid w:val="007F013A"/>
    <w:rsid w:val="007F067A"/>
    <w:rsid w:val="007F088F"/>
    <w:rsid w:val="007F1244"/>
    <w:rsid w:val="007F1FB0"/>
    <w:rsid w:val="007F2188"/>
    <w:rsid w:val="007F2D90"/>
    <w:rsid w:val="007F4211"/>
    <w:rsid w:val="007F4317"/>
    <w:rsid w:val="007F4F82"/>
    <w:rsid w:val="007F54DB"/>
    <w:rsid w:val="007F69DB"/>
    <w:rsid w:val="007F6A9A"/>
    <w:rsid w:val="007F6B93"/>
    <w:rsid w:val="007F6B9F"/>
    <w:rsid w:val="007F709F"/>
    <w:rsid w:val="007F73DA"/>
    <w:rsid w:val="007F78FA"/>
    <w:rsid w:val="008008F3"/>
    <w:rsid w:val="008013D6"/>
    <w:rsid w:val="008014FC"/>
    <w:rsid w:val="00801CA0"/>
    <w:rsid w:val="00801EEA"/>
    <w:rsid w:val="0080248D"/>
    <w:rsid w:val="00802493"/>
    <w:rsid w:val="00802785"/>
    <w:rsid w:val="00803014"/>
    <w:rsid w:val="008030B8"/>
    <w:rsid w:val="008039FE"/>
    <w:rsid w:val="00804653"/>
    <w:rsid w:val="00805D36"/>
    <w:rsid w:val="00806336"/>
    <w:rsid w:val="008066F8"/>
    <w:rsid w:val="00806A84"/>
    <w:rsid w:val="00806F66"/>
    <w:rsid w:val="008073D2"/>
    <w:rsid w:val="00807C6C"/>
    <w:rsid w:val="00811F8C"/>
    <w:rsid w:val="0081243E"/>
    <w:rsid w:val="00812B10"/>
    <w:rsid w:val="00813385"/>
    <w:rsid w:val="0081340B"/>
    <w:rsid w:val="008135E0"/>
    <w:rsid w:val="00813D52"/>
    <w:rsid w:val="00813DA5"/>
    <w:rsid w:val="00813E59"/>
    <w:rsid w:val="00814E63"/>
    <w:rsid w:val="0081628A"/>
    <w:rsid w:val="00816BD8"/>
    <w:rsid w:val="00816C39"/>
    <w:rsid w:val="00816E37"/>
    <w:rsid w:val="00817BB4"/>
    <w:rsid w:val="00817E89"/>
    <w:rsid w:val="00817E9F"/>
    <w:rsid w:val="00821021"/>
    <w:rsid w:val="008214BB"/>
    <w:rsid w:val="00821609"/>
    <w:rsid w:val="00821B58"/>
    <w:rsid w:val="0082202C"/>
    <w:rsid w:val="00822117"/>
    <w:rsid w:val="008225E3"/>
    <w:rsid w:val="008227E4"/>
    <w:rsid w:val="00822D06"/>
    <w:rsid w:val="00822D4E"/>
    <w:rsid w:val="00823329"/>
    <w:rsid w:val="008236D8"/>
    <w:rsid w:val="00823B4E"/>
    <w:rsid w:val="00823CEC"/>
    <w:rsid w:val="00824594"/>
    <w:rsid w:val="0082460C"/>
    <w:rsid w:val="008249B0"/>
    <w:rsid w:val="00824A07"/>
    <w:rsid w:val="00825BF1"/>
    <w:rsid w:val="008268A1"/>
    <w:rsid w:val="00826CD4"/>
    <w:rsid w:val="00826D8D"/>
    <w:rsid w:val="00826F17"/>
    <w:rsid w:val="00826F4C"/>
    <w:rsid w:val="00827183"/>
    <w:rsid w:val="0082722A"/>
    <w:rsid w:val="00827797"/>
    <w:rsid w:val="00827B01"/>
    <w:rsid w:val="0083135D"/>
    <w:rsid w:val="00833014"/>
    <w:rsid w:val="00833970"/>
    <w:rsid w:val="00833FBB"/>
    <w:rsid w:val="008346A8"/>
    <w:rsid w:val="00834B85"/>
    <w:rsid w:val="00834BCA"/>
    <w:rsid w:val="00834F10"/>
    <w:rsid w:val="008355E4"/>
    <w:rsid w:val="008356E1"/>
    <w:rsid w:val="00836005"/>
    <w:rsid w:val="00836A4D"/>
    <w:rsid w:val="00836F94"/>
    <w:rsid w:val="00837699"/>
    <w:rsid w:val="008377DA"/>
    <w:rsid w:val="00837E29"/>
    <w:rsid w:val="00837FEE"/>
    <w:rsid w:val="008409B9"/>
    <w:rsid w:val="00840AFF"/>
    <w:rsid w:val="00841FF7"/>
    <w:rsid w:val="00842A25"/>
    <w:rsid w:val="00843842"/>
    <w:rsid w:val="008448DD"/>
    <w:rsid w:val="00844D06"/>
    <w:rsid w:val="00844E27"/>
    <w:rsid w:val="00844EC9"/>
    <w:rsid w:val="008456D4"/>
    <w:rsid w:val="00845811"/>
    <w:rsid w:val="00845A15"/>
    <w:rsid w:val="00845B51"/>
    <w:rsid w:val="0084632F"/>
    <w:rsid w:val="00847121"/>
    <w:rsid w:val="00847309"/>
    <w:rsid w:val="0084765F"/>
    <w:rsid w:val="00847C0D"/>
    <w:rsid w:val="00847DA7"/>
    <w:rsid w:val="00847EAB"/>
    <w:rsid w:val="0085064E"/>
    <w:rsid w:val="00850C0F"/>
    <w:rsid w:val="00850EF7"/>
    <w:rsid w:val="0085106A"/>
    <w:rsid w:val="00851463"/>
    <w:rsid w:val="00852A1F"/>
    <w:rsid w:val="00853C37"/>
    <w:rsid w:val="00853F10"/>
    <w:rsid w:val="00853F6C"/>
    <w:rsid w:val="0085468B"/>
    <w:rsid w:val="00854EA0"/>
    <w:rsid w:val="008552DD"/>
    <w:rsid w:val="008552FC"/>
    <w:rsid w:val="00855423"/>
    <w:rsid w:val="00855B06"/>
    <w:rsid w:val="008561BB"/>
    <w:rsid w:val="008565AA"/>
    <w:rsid w:val="00856DDF"/>
    <w:rsid w:val="008574B0"/>
    <w:rsid w:val="008575F9"/>
    <w:rsid w:val="00857D29"/>
    <w:rsid w:val="00857E25"/>
    <w:rsid w:val="00860071"/>
    <w:rsid w:val="008609A4"/>
    <w:rsid w:val="00860A30"/>
    <w:rsid w:val="00861363"/>
    <w:rsid w:val="00862095"/>
    <w:rsid w:val="0086214C"/>
    <w:rsid w:val="008629A8"/>
    <w:rsid w:val="00863089"/>
    <w:rsid w:val="00863198"/>
    <w:rsid w:val="00863465"/>
    <w:rsid w:val="00863541"/>
    <w:rsid w:val="00863544"/>
    <w:rsid w:val="00863B3D"/>
    <w:rsid w:val="008640B5"/>
    <w:rsid w:val="00864C32"/>
    <w:rsid w:val="00864C9F"/>
    <w:rsid w:val="00864D55"/>
    <w:rsid w:val="00865199"/>
    <w:rsid w:val="00865F44"/>
    <w:rsid w:val="0086605D"/>
    <w:rsid w:val="00866572"/>
    <w:rsid w:val="008668D4"/>
    <w:rsid w:val="008679DC"/>
    <w:rsid w:val="00867C3D"/>
    <w:rsid w:val="008706AE"/>
    <w:rsid w:val="00870CB6"/>
    <w:rsid w:val="00871421"/>
    <w:rsid w:val="00871499"/>
    <w:rsid w:val="00872882"/>
    <w:rsid w:val="00873D3D"/>
    <w:rsid w:val="00873FEA"/>
    <w:rsid w:val="0087419B"/>
    <w:rsid w:val="008743DF"/>
    <w:rsid w:val="00874592"/>
    <w:rsid w:val="0087475F"/>
    <w:rsid w:val="00875679"/>
    <w:rsid w:val="00875E1F"/>
    <w:rsid w:val="0087725B"/>
    <w:rsid w:val="008777A6"/>
    <w:rsid w:val="0088028E"/>
    <w:rsid w:val="008807EE"/>
    <w:rsid w:val="00880A96"/>
    <w:rsid w:val="008818F6"/>
    <w:rsid w:val="00881FFE"/>
    <w:rsid w:val="00882989"/>
    <w:rsid w:val="00882EC4"/>
    <w:rsid w:val="00882F6D"/>
    <w:rsid w:val="00883059"/>
    <w:rsid w:val="0088398E"/>
    <w:rsid w:val="008844D7"/>
    <w:rsid w:val="00884B9F"/>
    <w:rsid w:val="00885377"/>
    <w:rsid w:val="00885561"/>
    <w:rsid w:val="00885BEA"/>
    <w:rsid w:val="00885CE9"/>
    <w:rsid w:val="008864AD"/>
    <w:rsid w:val="00886AC5"/>
    <w:rsid w:val="00886B4C"/>
    <w:rsid w:val="00887705"/>
    <w:rsid w:val="00887AA0"/>
    <w:rsid w:val="00887E02"/>
    <w:rsid w:val="00890535"/>
    <w:rsid w:val="008909F3"/>
    <w:rsid w:val="00891601"/>
    <w:rsid w:val="00892580"/>
    <w:rsid w:val="00892ADF"/>
    <w:rsid w:val="00892BFF"/>
    <w:rsid w:val="00892D43"/>
    <w:rsid w:val="008933A7"/>
    <w:rsid w:val="00893479"/>
    <w:rsid w:val="0089373B"/>
    <w:rsid w:val="008937A1"/>
    <w:rsid w:val="00894A90"/>
    <w:rsid w:val="00894EAA"/>
    <w:rsid w:val="00894FC1"/>
    <w:rsid w:val="008959A9"/>
    <w:rsid w:val="00896845"/>
    <w:rsid w:val="008977CD"/>
    <w:rsid w:val="00897E03"/>
    <w:rsid w:val="00897F77"/>
    <w:rsid w:val="008A017B"/>
    <w:rsid w:val="008A05E0"/>
    <w:rsid w:val="008A08FB"/>
    <w:rsid w:val="008A0B5A"/>
    <w:rsid w:val="008A1B8F"/>
    <w:rsid w:val="008A1C47"/>
    <w:rsid w:val="008A30D2"/>
    <w:rsid w:val="008A34BF"/>
    <w:rsid w:val="008A35E7"/>
    <w:rsid w:val="008A413C"/>
    <w:rsid w:val="008A44B6"/>
    <w:rsid w:val="008A4CBF"/>
    <w:rsid w:val="008A5290"/>
    <w:rsid w:val="008A5549"/>
    <w:rsid w:val="008A568C"/>
    <w:rsid w:val="008A593A"/>
    <w:rsid w:val="008A5A27"/>
    <w:rsid w:val="008A6C5A"/>
    <w:rsid w:val="008B0061"/>
    <w:rsid w:val="008B08FB"/>
    <w:rsid w:val="008B0A8A"/>
    <w:rsid w:val="008B0EAD"/>
    <w:rsid w:val="008B1718"/>
    <w:rsid w:val="008B190C"/>
    <w:rsid w:val="008B1EF5"/>
    <w:rsid w:val="008B219A"/>
    <w:rsid w:val="008B2455"/>
    <w:rsid w:val="008B2537"/>
    <w:rsid w:val="008B29F6"/>
    <w:rsid w:val="008B2BA0"/>
    <w:rsid w:val="008B2DF3"/>
    <w:rsid w:val="008B2E4C"/>
    <w:rsid w:val="008B349C"/>
    <w:rsid w:val="008B376A"/>
    <w:rsid w:val="008B3AE4"/>
    <w:rsid w:val="008B3F57"/>
    <w:rsid w:val="008B4969"/>
    <w:rsid w:val="008B51CA"/>
    <w:rsid w:val="008B5660"/>
    <w:rsid w:val="008B7220"/>
    <w:rsid w:val="008B7225"/>
    <w:rsid w:val="008B78D8"/>
    <w:rsid w:val="008C00CA"/>
    <w:rsid w:val="008C0237"/>
    <w:rsid w:val="008C031A"/>
    <w:rsid w:val="008C08A5"/>
    <w:rsid w:val="008C1349"/>
    <w:rsid w:val="008C1FC7"/>
    <w:rsid w:val="008C2354"/>
    <w:rsid w:val="008C31A3"/>
    <w:rsid w:val="008C347E"/>
    <w:rsid w:val="008C384A"/>
    <w:rsid w:val="008C44D9"/>
    <w:rsid w:val="008C479C"/>
    <w:rsid w:val="008C4E14"/>
    <w:rsid w:val="008C4EDA"/>
    <w:rsid w:val="008C4F75"/>
    <w:rsid w:val="008C5110"/>
    <w:rsid w:val="008C55A4"/>
    <w:rsid w:val="008C5C97"/>
    <w:rsid w:val="008C64E3"/>
    <w:rsid w:val="008C650F"/>
    <w:rsid w:val="008C725D"/>
    <w:rsid w:val="008C7741"/>
    <w:rsid w:val="008C7883"/>
    <w:rsid w:val="008C7B5C"/>
    <w:rsid w:val="008D044B"/>
    <w:rsid w:val="008D0D1E"/>
    <w:rsid w:val="008D110C"/>
    <w:rsid w:val="008D1E79"/>
    <w:rsid w:val="008D28AB"/>
    <w:rsid w:val="008D29A6"/>
    <w:rsid w:val="008D2CE5"/>
    <w:rsid w:val="008D345F"/>
    <w:rsid w:val="008D3735"/>
    <w:rsid w:val="008D42ED"/>
    <w:rsid w:val="008D49A4"/>
    <w:rsid w:val="008D4B1B"/>
    <w:rsid w:val="008D5605"/>
    <w:rsid w:val="008D5693"/>
    <w:rsid w:val="008D592A"/>
    <w:rsid w:val="008D7097"/>
    <w:rsid w:val="008D776F"/>
    <w:rsid w:val="008D7A19"/>
    <w:rsid w:val="008D7E13"/>
    <w:rsid w:val="008E1068"/>
    <w:rsid w:val="008E18A0"/>
    <w:rsid w:val="008E1E54"/>
    <w:rsid w:val="008E2AA2"/>
    <w:rsid w:val="008E2B53"/>
    <w:rsid w:val="008E3921"/>
    <w:rsid w:val="008E3B7C"/>
    <w:rsid w:val="008E3C41"/>
    <w:rsid w:val="008E3C88"/>
    <w:rsid w:val="008E4880"/>
    <w:rsid w:val="008E5643"/>
    <w:rsid w:val="008E78F2"/>
    <w:rsid w:val="008E792D"/>
    <w:rsid w:val="008E7A5C"/>
    <w:rsid w:val="008F0055"/>
    <w:rsid w:val="008F022C"/>
    <w:rsid w:val="008F089A"/>
    <w:rsid w:val="008F0E05"/>
    <w:rsid w:val="008F0E9C"/>
    <w:rsid w:val="008F12B1"/>
    <w:rsid w:val="008F141E"/>
    <w:rsid w:val="008F1F09"/>
    <w:rsid w:val="008F2838"/>
    <w:rsid w:val="008F55DF"/>
    <w:rsid w:val="008F5988"/>
    <w:rsid w:val="008F59FD"/>
    <w:rsid w:val="008F6667"/>
    <w:rsid w:val="008F6794"/>
    <w:rsid w:val="008F6B6C"/>
    <w:rsid w:val="008F777E"/>
    <w:rsid w:val="008F7853"/>
    <w:rsid w:val="008F7949"/>
    <w:rsid w:val="008F7AA3"/>
    <w:rsid w:val="009003DE"/>
    <w:rsid w:val="009003EA"/>
    <w:rsid w:val="00900C7B"/>
    <w:rsid w:val="00901569"/>
    <w:rsid w:val="00902495"/>
    <w:rsid w:val="00902929"/>
    <w:rsid w:val="00903488"/>
    <w:rsid w:val="009045C3"/>
    <w:rsid w:val="00904795"/>
    <w:rsid w:val="009049FD"/>
    <w:rsid w:val="00904AA8"/>
    <w:rsid w:val="00904FB5"/>
    <w:rsid w:val="00905021"/>
    <w:rsid w:val="00905CB7"/>
    <w:rsid w:val="00905D12"/>
    <w:rsid w:val="00906619"/>
    <w:rsid w:val="0090683D"/>
    <w:rsid w:val="00906E21"/>
    <w:rsid w:val="00906F35"/>
    <w:rsid w:val="0090727F"/>
    <w:rsid w:val="00907955"/>
    <w:rsid w:val="0090799A"/>
    <w:rsid w:val="00907B8B"/>
    <w:rsid w:val="0091270C"/>
    <w:rsid w:val="00912DE0"/>
    <w:rsid w:val="0091327E"/>
    <w:rsid w:val="00913421"/>
    <w:rsid w:val="00913B66"/>
    <w:rsid w:val="009149A4"/>
    <w:rsid w:val="00915B34"/>
    <w:rsid w:val="00916374"/>
    <w:rsid w:val="00916A15"/>
    <w:rsid w:val="00916E58"/>
    <w:rsid w:val="00916FE3"/>
    <w:rsid w:val="00917380"/>
    <w:rsid w:val="0091759B"/>
    <w:rsid w:val="00917887"/>
    <w:rsid w:val="00920702"/>
    <w:rsid w:val="009207DB"/>
    <w:rsid w:val="00921426"/>
    <w:rsid w:val="00922024"/>
    <w:rsid w:val="0092281A"/>
    <w:rsid w:val="00922AF6"/>
    <w:rsid w:val="00922FE4"/>
    <w:rsid w:val="009244A4"/>
    <w:rsid w:val="009246F6"/>
    <w:rsid w:val="00924BF3"/>
    <w:rsid w:val="00924E99"/>
    <w:rsid w:val="009254AC"/>
    <w:rsid w:val="00925501"/>
    <w:rsid w:val="0092551B"/>
    <w:rsid w:val="009257F5"/>
    <w:rsid w:val="00925965"/>
    <w:rsid w:val="00925C4F"/>
    <w:rsid w:val="00925E32"/>
    <w:rsid w:val="00926301"/>
    <w:rsid w:val="00926982"/>
    <w:rsid w:val="00926BC8"/>
    <w:rsid w:val="00926BF2"/>
    <w:rsid w:val="009270C4"/>
    <w:rsid w:val="00927381"/>
    <w:rsid w:val="00931828"/>
    <w:rsid w:val="00931B25"/>
    <w:rsid w:val="00931C34"/>
    <w:rsid w:val="00932196"/>
    <w:rsid w:val="0093226D"/>
    <w:rsid w:val="00932459"/>
    <w:rsid w:val="00932B16"/>
    <w:rsid w:val="00932FE6"/>
    <w:rsid w:val="00933866"/>
    <w:rsid w:val="0093412A"/>
    <w:rsid w:val="00934309"/>
    <w:rsid w:val="00934DF4"/>
    <w:rsid w:val="00934FA8"/>
    <w:rsid w:val="00936535"/>
    <w:rsid w:val="009366C1"/>
    <w:rsid w:val="00936DE8"/>
    <w:rsid w:val="0093740F"/>
    <w:rsid w:val="0093746D"/>
    <w:rsid w:val="00937B4A"/>
    <w:rsid w:val="00937C1D"/>
    <w:rsid w:val="00937FCE"/>
    <w:rsid w:val="009405AC"/>
    <w:rsid w:val="009405DB"/>
    <w:rsid w:val="00940F58"/>
    <w:rsid w:val="00940FC3"/>
    <w:rsid w:val="0094131D"/>
    <w:rsid w:val="0094175A"/>
    <w:rsid w:val="00941C49"/>
    <w:rsid w:val="00942120"/>
    <w:rsid w:val="00942316"/>
    <w:rsid w:val="009425F7"/>
    <w:rsid w:val="00942A91"/>
    <w:rsid w:val="00942F09"/>
    <w:rsid w:val="00942FE3"/>
    <w:rsid w:val="00943034"/>
    <w:rsid w:val="009437F6"/>
    <w:rsid w:val="00943821"/>
    <w:rsid w:val="00943DD5"/>
    <w:rsid w:val="00944079"/>
    <w:rsid w:val="00944637"/>
    <w:rsid w:val="00944BC7"/>
    <w:rsid w:val="00944BF0"/>
    <w:rsid w:val="00945072"/>
    <w:rsid w:val="009450E6"/>
    <w:rsid w:val="00946136"/>
    <w:rsid w:val="00946208"/>
    <w:rsid w:val="009470E2"/>
    <w:rsid w:val="00947B25"/>
    <w:rsid w:val="00947BA4"/>
    <w:rsid w:val="00950B62"/>
    <w:rsid w:val="00951121"/>
    <w:rsid w:val="009512F4"/>
    <w:rsid w:val="0095151E"/>
    <w:rsid w:val="00951A3E"/>
    <w:rsid w:val="00951FA8"/>
    <w:rsid w:val="0095348B"/>
    <w:rsid w:val="00953BB4"/>
    <w:rsid w:val="00953F9C"/>
    <w:rsid w:val="00954282"/>
    <w:rsid w:val="00954427"/>
    <w:rsid w:val="0095467D"/>
    <w:rsid w:val="00954E74"/>
    <w:rsid w:val="00955150"/>
    <w:rsid w:val="009555AB"/>
    <w:rsid w:val="009562BF"/>
    <w:rsid w:val="00956BBB"/>
    <w:rsid w:val="0095708A"/>
    <w:rsid w:val="00957A1B"/>
    <w:rsid w:val="00957A21"/>
    <w:rsid w:val="009607DA"/>
    <w:rsid w:val="00961505"/>
    <w:rsid w:val="00961694"/>
    <w:rsid w:val="009618F2"/>
    <w:rsid w:val="00961B3E"/>
    <w:rsid w:val="0096323E"/>
    <w:rsid w:val="00963B1B"/>
    <w:rsid w:val="00963C3F"/>
    <w:rsid w:val="00964450"/>
    <w:rsid w:val="0096475C"/>
    <w:rsid w:val="00964924"/>
    <w:rsid w:val="009650AB"/>
    <w:rsid w:val="00965161"/>
    <w:rsid w:val="00965401"/>
    <w:rsid w:val="00965E37"/>
    <w:rsid w:val="00965F51"/>
    <w:rsid w:val="009675F9"/>
    <w:rsid w:val="00967626"/>
    <w:rsid w:val="0096797D"/>
    <w:rsid w:val="00967C2F"/>
    <w:rsid w:val="009710C3"/>
    <w:rsid w:val="009713DD"/>
    <w:rsid w:val="00971C53"/>
    <w:rsid w:val="009725F2"/>
    <w:rsid w:val="00972DC6"/>
    <w:rsid w:val="00972F2E"/>
    <w:rsid w:val="0097311D"/>
    <w:rsid w:val="00973179"/>
    <w:rsid w:val="00974795"/>
    <w:rsid w:val="00975C75"/>
    <w:rsid w:val="009761BB"/>
    <w:rsid w:val="00976390"/>
    <w:rsid w:val="00976582"/>
    <w:rsid w:val="0097766C"/>
    <w:rsid w:val="00977C31"/>
    <w:rsid w:val="0098177A"/>
    <w:rsid w:val="00983300"/>
    <w:rsid w:val="009833A5"/>
    <w:rsid w:val="00983EFD"/>
    <w:rsid w:val="00984868"/>
    <w:rsid w:val="00984A8A"/>
    <w:rsid w:val="0098508F"/>
    <w:rsid w:val="0098600A"/>
    <w:rsid w:val="009860C0"/>
    <w:rsid w:val="00986257"/>
    <w:rsid w:val="0098643B"/>
    <w:rsid w:val="00986861"/>
    <w:rsid w:val="009868C9"/>
    <w:rsid w:val="00987362"/>
    <w:rsid w:val="0098780E"/>
    <w:rsid w:val="00987BF5"/>
    <w:rsid w:val="00987CBC"/>
    <w:rsid w:val="00987FE7"/>
    <w:rsid w:val="009900C1"/>
    <w:rsid w:val="00990519"/>
    <w:rsid w:val="00990904"/>
    <w:rsid w:val="009917E6"/>
    <w:rsid w:val="00992022"/>
    <w:rsid w:val="009924B9"/>
    <w:rsid w:val="009924BC"/>
    <w:rsid w:val="009925AC"/>
    <w:rsid w:val="00992935"/>
    <w:rsid w:val="00992E3D"/>
    <w:rsid w:val="00992E90"/>
    <w:rsid w:val="0099301E"/>
    <w:rsid w:val="009933F1"/>
    <w:rsid w:val="009936DB"/>
    <w:rsid w:val="00993FFC"/>
    <w:rsid w:val="009943CA"/>
    <w:rsid w:val="00994EA1"/>
    <w:rsid w:val="00995141"/>
    <w:rsid w:val="0099589D"/>
    <w:rsid w:val="009961D6"/>
    <w:rsid w:val="00996326"/>
    <w:rsid w:val="00996349"/>
    <w:rsid w:val="00996415"/>
    <w:rsid w:val="00996546"/>
    <w:rsid w:val="009966A8"/>
    <w:rsid w:val="00996D9C"/>
    <w:rsid w:val="0099723F"/>
    <w:rsid w:val="009978A9"/>
    <w:rsid w:val="00997943"/>
    <w:rsid w:val="009A144D"/>
    <w:rsid w:val="009A1B8E"/>
    <w:rsid w:val="009A1C3E"/>
    <w:rsid w:val="009A1CD8"/>
    <w:rsid w:val="009A23C2"/>
    <w:rsid w:val="009A2838"/>
    <w:rsid w:val="009A2EFF"/>
    <w:rsid w:val="009A2FDF"/>
    <w:rsid w:val="009A327E"/>
    <w:rsid w:val="009A3567"/>
    <w:rsid w:val="009A3CF8"/>
    <w:rsid w:val="009A44E8"/>
    <w:rsid w:val="009A4654"/>
    <w:rsid w:val="009A4A0D"/>
    <w:rsid w:val="009A4F69"/>
    <w:rsid w:val="009A550E"/>
    <w:rsid w:val="009A59E8"/>
    <w:rsid w:val="009A5F6E"/>
    <w:rsid w:val="009A602D"/>
    <w:rsid w:val="009A61FF"/>
    <w:rsid w:val="009A74CB"/>
    <w:rsid w:val="009A775A"/>
    <w:rsid w:val="009A7A01"/>
    <w:rsid w:val="009A7C99"/>
    <w:rsid w:val="009B1DA5"/>
    <w:rsid w:val="009B2213"/>
    <w:rsid w:val="009B2453"/>
    <w:rsid w:val="009B28FD"/>
    <w:rsid w:val="009B2AD6"/>
    <w:rsid w:val="009B2B64"/>
    <w:rsid w:val="009B34B9"/>
    <w:rsid w:val="009B35D6"/>
    <w:rsid w:val="009B49E1"/>
    <w:rsid w:val="009B4BDC"/>
    <w:rsid w:val="009B5594"/>
    <w:rsid w:val="009B57DF"/>
    <w:rsid w:val="009B5990"/>
    <w:rsid w:val="009B5A37"/>
    <w:rsid w:val="009B6792"/>
    <w:rsid w:val="009B7144"/>
    <w:rsid w:val="009B729E"/>
    <w:rsid w:val="009B7498"/>
    <w:rsid w:val="009B74A2"/>
    <w:rsid w:val="009B74BB"/>
    <w:rsid w:val="009B7803"/>
    <w:rsid w:val="009B7ED4"/>
    <w:rsid w:val="009C067A"/>
    <w:rsid w:val="009C0CB4"/>
    <w:rsid w:val="009C104A"/>
    <w:rsid w:val="009C178B"/>
    <w:rsid w:val="009C17E8"/>
    <w:rsid w:val="009C1C9A"/>
    <w:rsid w:val="009C221F"/>
    <w:rsid w:val="009C27F8"/>
    <w:rsid w:val="009C28CD"/>
    <w:rsid w:val="009C2A0D"/>
    <w:rsid w:val="009C34CB"/>
    <w:rsid w:val="009C3BFC"/>
    <w:rsid w:val="009C3D84"/>
    <w:rsid w:val="009C411A"/>
    <w:rsid w:val="009C4228"/>
    <w:rsid w:val="009C42B4"/>
    <w:rsid w:val="009C443A"/>
    <w:rsid w:val="009C469D"/>
    <w:rsid w:val="009C50B7"/>
    <w:rsid w:val="009C51B3"/>
    <w:rsid w:val="009C5923"/>
    <w:rsid w:val="009C5F5C"/>
    <w:rsid w:val="009C6697"/>
    <w:rsid w:val="009C6981"/>
    <w:rsid w:val="009C7773"/>
    <w:rsid w:val="009C7A50"/>
    <w:rsid w:val="009C7B1D"/>
    <w:rsid w:val="009D03F1"/>
    <w:rsid w:val="009D1CF4"/>
    <w:rsid w:val="009D2E2B"/>
    <w:rsid w:val="009D3528"/>
    <w:rsid w:val="009D380F"/>
    <w:rsid w:val="009D402B"/>
    <w:rsid w:val="009D49AF"/>
    <w:rsid w:val="009D5001"/>
    <w:rsid w:val="009D5382"/>
    <w:rsid w:val="009D57A7"/>
    <w:rsid w:val="009D5A1E"/>
    <w:rsid w:val="009D67A4"/>
    <w:rsid w:val="009E0410"/>
    <w:rsid w:val="009E0BFF"/>
    <w:rsid w:val="009E1607"/>
    <w:rsid w:val="009E21EA"/>
    <w:rsid w:val="009E2E06"/>
    <w:rsid w:val="009E318C"/>
    <w:rsid w:val="009E33D1"/>
    <w:rsid w:val="009E52D3"/>
    <w:rsid w:val="009E6A55"/>
    <w:rsid w:val="009E6DD0"/>
    <w:rsid w:val="009E6F39"/>
    <w:rsid w:val="009E6F5C"/>
    <w:rsid w:val="009E7562"/>
    <w:rsid w:val="009E7E04"/>
    <w:rsid w:val="009F0861"/>
    <w:rsid w:val="009F0BD5"/>
    <w:rsid w:val="009F0BD9"/>
    <w:rsid w:val="009F1A0A"/>
    <w:rsid w:val="009F2803"/>
    <w:rsid w:val="009F293D"/>
    <w:rsid w:val="009F2BA2"/>
    <w:rsid w:val="009F3124"/>
    <w:rsid w:val="009F31A9"/>
    <w:rsid w:val="009F3332"/>
    <w:rsid w:val="009F33FA"/>
    <w:rsid w:val="009F344F"/>
    <w:rsid w:val="009F3645"/>
    <w:rsid w:val="009F4283"/>
    <w:rsid w:val="009F42F3"/>
    <w:rsid w:val="009F4C2B"/>
    <w:rsid w:val="009F5105"/>
    <w:rsid w:val="009F5259"/>
    <w:rsid w:val="009F5542"/>
    <w:rsid w:val="009F6223"/>
    <w:rsid w:val="009F6769"/>
    <w:rsid w:val="009F6903"/>
    <w:rsid w:val="009F6B78"/>
    <w:rsid w:val="009F6CA4"/>
    <w:rsid w:val="009F7107"/>
    <w:rsid w:val="009F77C0"/>
    <w:rsid w:val="009F7CA8"/>
    <w:rsid w:val="00A002F3"/>
    <w:rsid w:val="00A006BD"/>
    <w:rsid w:val="00A006E1"/>
    <w:rsid w:val="00A00824"/>
    <w:rsid w:val="00A009AC"/>
    <w:rsid w:val="00A00D50"/>
    <w:rsid w:val="00A00DAC"/>
    <w:rsid w:val="00A00DC0"/>
    <w:rsid w:val="00A01149"/>
    <w:rsid w:val="00A01359"/>
    <w:rsid w:val="00A01C1F"/>
    <w:rsid w:val="00A01C86"/>
    <w:rsid w:val="00A01C98"/>
    <w:rsid w:val="00A0267B"/>
    <w:rsid w:val="00A02A9F"/>
    <w:rsid w:val="00A02CE8"/>
    <w:rsid w:val="00A02EE0"/>
    <w:rsid w:val="00A035F2"/>
    <w:rsid w:val="00A03C90"/>
    <w:rsid w:val="00A04C41"/>
    <w:rsid w:val="00A051FC"/>
    <w:rsid w:val="00A0596A"/>
    <w:rsid w:val="00A05A92"/>
    <w:rsid w:val="00A05ACF"/>
    <w:rsid w:val="00A05D66"/>
    <w:rsid w:val="00A060F0"/>
    <w:rsid w:val="00A06A54"/>
    <w:rsid w:val="00A06E22"/>
    <w:rsid w:val="00A06EFA"/>
    <w:rsid w:val="00A073F8"/>
    <w:rsid w:val="00A07483"/>
    <w:rsid w:val="00A10423"/>
    <w:rsid w:val="00A10D02"/>
    <w:rsid w:val="00A10D96"/>
    <w:rsid w:val="00A12273"/>
    <w:rsid w:val="00A1238B"/>
    <w:rsid w:val="00A1260D"/>
    <w:rsid w:val="00A12DEF"/>
    <w:rsid w:val="00A137EE"/>
    <w:rsid w:val="00A14AA2"/>
    <w:rsid w:val="00A1548E"/>
    <w:rsid w:val="00A15A52"/>
    <w:rsid w:val="00A15E3B"/>
    <w:rsid w:val="00A1614F"/>
    <w:rsid w:val="00A169F7"/>
    <w:rsid w:val="00A16AE9"/>
    <w:rsid w:val="00A171E1"/>
    <w:rsid w:val="00A172FD"/>
    <w:rsid w:val="00A177C1"/>
    <w:rsid w:val="00A17CFF"/>
    <w:rsid w:val="00A20A26"/>
    <w:rsid w:val="00A20A4E"/>
    <w:rsid w:val="00A218FE"/>
    <w:rsid w:val="00A2193D"/>
    <w:rsid w:val="00A21F85"/>
    <w:rsid w:val="00A22536"/>
    <w:rsid w:val="00A22F1E"/>
    <w:rsid w:val="00A2323D"/>
    <w:rsid w:val="00A240AC"/>
    <w:rsid w:val="00A240FF"/>
    <w:rsid w:val="00A24137"/>
    <w:rsid w:val="00A24201"/>
    <w:rsid w:val="00A246C9"/>
    <w:rsid w:val="00A266C7"/>
    <w:rsid w:val="00A26C96"/>
    <w:rsid w:val="00A2732C"/>
    <w:rsid w:val="00A277C7"/>
    <w:rsid w:val="00A27A71"/>
    <w:rsid w:val="00A311A8"/>
    <w:rsid w:val="00A31774"/>
    <w:rsid w:val="00A31CC5"/>
    <w:rsid w:val="00A31DF9"/>
    <w:rsid w:val="00A32078"/>
    <w:rsid w:val="00A32211"/>
    <w:rsid w:val="00A32462"/>
    <w:rsid w:val="00A32D14"/>
    <w:rsid w:val="00A33876"/>
    <w:rsid w:val="00A33D3A"/>
    <w:rsid w:val="00A34114"/>
    <w:rsid w:val="00A34B29"/>
    <w:rsid w:val="00A34BEA"/>
    <w:rsid w:val="00A34C81"/>
    <w:rsid w:val="00A34E19"/>
    <w:rsid w:val="00A3539B"/>
    <w:rsid w:val="00A353D8"/>
    <w:rsid w:val="00A35B31"/>
    <w:rsid w:val="00A3664B"/>
    <w:rsid w:val="00A36784"/>
    <w:rsid w:val="00A36B46"/>
    <w:rsid w:val="00A36BD5"/>
    <w:rsid w:val="00A374B1"/>
    <w:rsid w:val="00A376E8"/>
    <w:rsid w:val="00A401BF"/>
    <w:rsid w:val="00A40906"/>
    <w:rsid w:val="00A40D0C"/>
    <w:rsid w:val="00A41302"/>
    <w:rsid w:val="00A41470"/>
    <w:rsid w:val="00A415E2"/>
    <w:rsid w:val="00A41C59"/>
    <w:rsid w:val="00A41C63"/>
    <w:rsid w:val="00A420F4"/>
    <w:rsid w:val="00A42130"/>
    <w:rsid w:val="00A421C0"/>
    <w:rsid w:val="00A4271D"/>
    <w:rsid w:val="00A42B94"/>
    <w:rsid w:val="00A43021"/>
    <w:rsid w:val="00A43278"/>
    <w:rsid w:val="00A434CC"/>
    <w:rsid w:val="00A436A6"/>
    <w:rsid w:val="00A43B57"/>
    <w:rsid w:val="00A43CF2"/>
    <w:rsid w:val="00A44AC0"/>
    <w:rsid w:val="00A44B87"/>
    <w:rsid w:val="00A45891"/>
    <w:rsid w:val="00A463EB"/>
    <w:rsid w:val="00A466BC"/>
    <w:rsid w:val="00A469C6"/>
    <w:rsid w:val="00A47029"/>
    <w:rsid w:val="00A47341"/>
    <w:rsid w:val="00A47611"/>
    <w:rsid w:val="00A50115"/>
    <w:rsid w:val="00A50299"/>
    <w:rsid w:val="00A503CF"/>
    <w:rsid w:val="00A50F4B"/>
    <w:rsid w:val="00A510C2"/>
    <w:rsid w:val="00A51B72"/>
    <w:rsid w:val="00A51D1A"/>
    <w:rsid w:val="00A51D94"/>
    <w:rsid w:val="00A52100"/>
    <w:rsid w:val="00A52885"/>
    <w:rsid w:val="00A53048"/>
    <w:rsid w:val="00A536D5"/>
    <w:rsid w:val="00A53FCE"/>
    <w:rsid w:val="00A5425D"/>
    <w:rsid w:val="00A5510E"/>
    <w:rsid w:val="00A5582D"/>
    <w:rsid w:val="00A559F4"/>
    <w:rsid w:val="00A56547"/>
    <w:rsid w:val="00A56BBE"/>
    <w:rsid w:val="00A56C3F"/>
    <w:rsid w:val="00A56D12"/>
    <w:rsid w:val="00A570E0"/>
    <w:rsid w:val="00A57343"/>
    <w:rsid w:val="00A57566"/>
    <w:rsid w:val="00A57889"/>
    <w:rsid w:val="00A6033F"/>
    <w:rsid w:val="00A606A0"/>
    <w:rsid w:val="00A60AEA"/>
    <w:rsid w:val="00A60E0C"/>
    <w:rsid w:val="00A61263"/>
    <w:rsid w:val="00A61265"/>
    <w:rsid w:val="00A614AD"/>
    <w:rsid w:val="00A61886"/>
    <w:rsid w:val="00A61A5D"/>
    <w:rsid w:val="00A61C42"/>
    <w:rsid w:val="00A62F88"/>
    <w:rsid w:val="00A63706"/>
    <w:rsid w:val="00A63D89"/>
    <w:rsid w:val="00A63DB5"/>
    <w:rsid w:val="00A650DB"/>
    <w:rsid w:val="00A65406"/>
    <w:rsid w:val="00A65865"/>
    <w:rsid w:val="00A65E52"/>
    <w:rsid w:val="00A666B3"/>
    <w:rsid w:val="00A66B2E"/>
    <w:rsid w:val="00A66E04"/>
    <w:rsid w:val="00A671B3"/>
    <w:rsid w:val="00A67706"/>
    <w:rsid w:val="00A6775B"/>
    <w:rsid w:val="00A67E84"/>
    <w:rsid w:val="00A67F13"/>
    <w:rsid w:val="00A71181"/>
    <w:rsid w:val="00A7290C"/>
    <w:rsid w:val="00A72ADA"/>
    <w:rsid w:val="00A733CD"/>
    <w:rsid w:val="00A73642"/>
    <w:rsid w:val="00A73647"/>
    <w:rsid w:val="00A73915"/>
    <w:rsid w:val="00A740A9"/>
    <w:rsid w:val="00A740DC"/>
    <w:rsid w:val="00A74C0B"/>
    <w:rsid w:val="00A75085"/>
    <w:rsid w:val="00A753C1"/>
    <w:rsid w:val="00A7588B"/>
    <w:rsid w:val="00A76063"/>
    <w:rsid w:val="00A7661A"/>
    <w:rsid w:val="00A767A1"/>
    <w:rsid w:val="00A771BF"/>
    <w:rsid w:val="00A77A3F"/>
    <w:rsid w:val="00A801BC"/>
    <w:rsid w:val="00A80337"/>
    <w:rsid w:val="00A80822"/>
    <w:rsid w:val="00A80B84"/>
    <w:rsid w:val="00A80D67"/>
    <w:rsid w:val="00A81953"/>
    <w:rsid w:val="00A823AB"/>
    <w:rsid w:val="00A8281D"/>
    <w:rsid w:val="00A82C6D"/>
    <w:rsid w:val="00A835EF"/>
    <w:rsid w:val="00A84155"/>
    <w:rsid w:val="00A84AE2"/>
    <w:rsid w:val="00A84AEB"/>
    <w:rsid w:val="00A850E3"/>
    <w:rsid w:val="00A861F3"/>
    <w:rsid w:val="00A86F1A"/>
    <w:rsid w:val="00A87A3E"/>
    <w:rsid w:val="00A87B18"/>
    <w:rsid w:val="00A90B1F"/>
    <w:rsid w:val="00A90B37"/>
    <w:rsid w:val="00A90B68"/>
    <w:rsid w:val="00A90DB1"/>
    <w:rsid w:val="00A90DCE"/>
    <w:rsid w:val="00A910CC"/>
    <w:rsid w:val="00A9147B"/>
    <w:rsid w:val="00A91803"/>
    <w:rsid w:val="00A91BA8"/>
    <w:rsid w:val="00A91DB9"/>
    <w:rsid w:val="00A91EF1"/>
    <w:rsid w:val="00A91EF2"/>
    <w:rsid w:val="00A91EF4"/>
    <w:rsid w:val="00A92331"/>
    <w:rsid w:val="00A92E10"/>
    <w:rsid w:val="00A9325C"/>
    <w:rsid w:val="00A9390E"/>
    <w:rsid w:val="00A93B3D"/>
    <w:rsid w:val="00A94171"/>
    <w:rsid w:val="00A94FD5"/>
    <w:rsid w:val="00A95559"/>
    <w:rsid w:val="00A95F9F"/>
    <w:rsid w:val="00A95FC9"/>
    <w:rsid w:val="00A9663B"/>
    <w:rsid w:val="00A96CAB"/>
    <w:rsid w:val="00A96FC6"/>
    <w:rsid w:val="00A97B61"/>
    <w:rsid w:val="00AA01DA"/>
    <w:rsid w:val="00AA046E"/>
    <w:rsid w:val="00AA0F42"/>
    <w:rsid w:val="00AA115C"/>
    <w:rsid w:val="00AA1211"/>
    <w:rsid w:val="00AA1579"/>
    <w:rsid w:val="00AA16FD"/>
    <w:rsid w:val="00AA2101"/>
    <w:rsid w:val="00AA2E76"/>
    <w:rsid w:val="00AA37D3"/>
    <w:rsid w:val="00AA41E9"/>
    <w:rsid w:val="00AA4482"/>
    <w:rsid w:val="00AA450C"/>
    <w:rsid w:val="00AA4AE0"/>
    <w:rsid w:val="00AA4D73"/>
    <w:rsid w:val="00AA5139"/>
    <w:rsid w:val="00AA5265"/>
    <w:rsid w:val="00AA54CA"/>
    <w:rsid w:val="00AA6094"/>
    <w:rsid w:val="00AA652E"/>
    <w:rsid w:val="00AA6884"/>
    <w:rsid w:val="00AA6E71"/>
    <w:rsid w:val="00AA70F2"/>
    <w:rsid w:val="00AA7247"/>
    <w:rsid w:val="00AA7437"/>
    <w:rsid w:val="00AA7838"/>
    <w:rsid w:val="00AA7A5E"/>
    <w:rsid w:val="00AB0229"/>
    <w:rsid w:val="00AB0879"/>
    <w:rsid w:val="00AB0A3E"/>
    <w:rsid w:val="00AB0AA6"/>
    <w:rsid w:val="00AB0E99"/>
    <w:rsid w:val="00AB0F03"/>
    <w:rsid w:val="00AB1287"/>
    <w:rsid w:val="00AB1CE8"/>
    <w:rsid w:val="00AB1FC9"/>
    <w:rsid w:val="00AB2F20"/>
    <w:rsid w:val="00AB3063"/>
    <w:rsid w:val="00AB3420"/>
    <w:rsid w:val="00AB3F7B"/>
    <w:rsid w:val="00AB4419"/>
    <w:rsid w:val="00AB4AD8"/>
    <w:rsid w:val="00AB5597"/>
    <w:rsid w:val="00AB596B"/>
    <w:rsid w:val="00AB6DFC"/>
    <w:rsid w:val="00AB7352"/>
    <w:rsid w:val="00AB7A79"/>
    <w:rsid w:val="00AC09CD"/>
    <w:rsid w:val="00AC1ABC"/>
    <w:rsid w:val="00AC2832"/>
    <w:rsid w:val="00AC2C94"/>
    <w:rsid w:val="00AC3DB7"/>
    <w:rsid w:val="00AC400E"/>
    <w:rsid w:val="00AC4293"/>
    <w:rsid w:val="00AC4960"/>
    <w:rsid w:val="00AC4E38"/>
    <w:rsid w:val="00AC561A"/>
    <w:rsid w:val="00AC570E"/>
    <w:rsid w:val="00AC57D2"/>
    <w:rsid w:val="00AC658F"/>
    <w:rsid w:val="00AC6A23"/>
    <w:rsid w:val="00AC7806"/>
    <w:rsid w:val="00AC7899"/>
    <w:rsid w:val="00AC7F42"/>
    <w:rsid w:val="00AD0289"/>
    <w:rsid w:val="00AD0B96"/>
    <w:rsid w:val="00AD0FEF"/>
    <w:rsid w:val="00AD1A5F"/>
    <w:rsid w:val="00AD21EB"/>
    <w:rsid w:val="00AD2762"/>
    <w:rsid w:val="00AD27FC"/>
    <w:rsid w:val="00AD2ACE"/>
    <w:rsid w:val="00AD2EFE"/>
    <w:rsid w:val="00AD3FA7"/>
    <w:rsid w:val="00AD4B09"/>
    <w:rsid w:val="00AD4EF7"/>
    <w:rsid w:val="00AD4FA3"/>
    <w:rsid w:val="00AD50AD"/>
    <w:rsid w:val="00AD514D"/>
    <w:rsid w:val="00AD516C"/>
    <w:rsid w:val="00AD5D7E"/>
    <w:rsid w:val="00AD5DEF"/>
    <w:rsid w:val="00AD5FD1"/>
    <w:rsid w:val="00AD6407"/>
    <w:rsid w:val="00AD752F"/>
    <w:rsid w:val="00AE00CA"/>
    <w:rsid w:val="00AE1AE1"/>
    <w:rsid w:val="00AE254F"/>
    <w:rsid w:val="00AE260E"/>
    <w:rsid w:val="00AE2C77"/>
    <w:rsid w:val="00AE2D01"/>
    <w:rsid w:val="00AE415F"/>
    <w:rsid w:val="00AE4E21"/>
    <w:rsid w:val="00AE5121"/>
    <w:rsid w:val="00AE55BC"/>
    <w:rsid w:val="00AE56C7"/>
    <w:rsid w:val="00AE57D2"/>
    <w:rsid w:val="00AE638D"/>
    <w:rsid w:val="00AE686D"/>
    <w:rsid w:val="00AE6B27"/>
    <w:rsid w:val="00AE6D6A"/>
    <w:rsid w:val="00AE6F0F"/>
    <w:rsid w:val="00AF00D2"/>
    <w:rsid w:val="00AF0B16"/>
    <w:rsid w:val="00AF0F96"/>
    <w:rsid w:val="00AF21D7"/>
    <w:rsid w:val="00AF222F"/>
    <w:rsid w:val="00AF2893"/>
    <w:rsid w:val="00AF28EB"/>
    <w:rsid w:val="00AF2ED6"/>
    <w:rsid w:val="00AF3178"/>
    <w:rsid w:val="00AF367A"/>
    <w:rsid w:val="00AF36B6"/>
    <w:rsid w:val="00AF3C6C"/>
    <w:rsid w:val="00AF49AE"/>
    <w:rsid w:val="00AF4E1B"/>
    <w:rsid w:val="00AF508B"/>
    <w:rsid w:val="00AF5407"/>
    <w:rsid w:val="00AF5AC5"/>
    <w:rsid w:val="00AF5D56"/>
    <w:rsid w:val="00AF6595"/>
    <w:rsid w:val="00AF6CE0"/>
    <w:rsid w:val="00AF7444"/>
    <w:rsid w:val="00B00D08"/>
    <w:rsid w:val="00B00ED5"/>
    <w:rsid w:val="00B00F15"/>
    <w:rsid w:val="00B017EA"/>
    <w:rsid w:val="00B022CF"/>
    <w:rsid w:val="00B02808"/>
    <w:rsid w:val="00B028BC"/>
    <w:rsid w:val="00B02936"/>
    <w:rsid w:val="00B02BF0"/>
    <w:rsid w:val="00B02EEE"/>
    <w:rsid w:val="00B037DC"/>
    <w:rsid w:val="00B03AB4"/>
    <w:rsid w:val="00B04307"/>
    <w:rsid w:val="00B04492"/>
    <w:rsid w:val="00B04580"/>
    <w:rsid w:val="00B0459A"/>
    <w:rsid w:val="00B0464A"/>
    <w:rsid w:val="00B04972"/>
    <w:rsid w:val="00B04BED"/>
    <w:rsid w:val="00B05B34"/>
    <w:rsid w:val="00B05B91"/>
    <w:rsid w:val="00B05FE5"/>
    <w:rsid w:val="00B0613A"/>
    <w:rsid w:val="00B062A6"/>
    <w:rsid w:val="00B06613"/>
    <w:rsid w:val="00B0689A"/>
    <w:rsid w:val="00B069BA"/>
    <w:rsid w:val="00B06DD5"/>
    <w:rsid w:val="00B07297"/>
    <w:rsid w:val="00B077CC"/>
    <w:rsid w:val="00B07CD8"/>
    <w:rsid w:val="00B10346"/>
    <w:rsid w:val="00B10762"/>
    <w:rsid w:val="00B10B90"/>
    <w:rsid w:val="00B10CD7"/>
    <w:rsid w:val="00B11197"/>
    <w:rsid w:val="00B119A6"/>
    <w:rsid w:val="00B11D78"/>
    <w:rsid w:val="00B11F38"/>
    <w:rsid w:val="00B12C3D"/>
    <w:rsid w:val="00B12FD0"/>
    <w:rsid w:val="00B13306"/>
    <w:rsid w:val="00B13F7C"/>
    <w:rsid w:val="00B1482F"/>
    <w:rsid w:val="00B14E03"/>
    <w:rsid w:val="00B1524E"/>
    <w:rsid w:val="00B152C6"/>
    <w:rsid w:val="00B1597B"/>
    <w:rsid w:val="00B15BB2"/>
    <w:rsid w:val="00B161C3"/>
    <w:rsid w:val="00B16611"/>
    <w:rsid w:val="00B16DB5"/>
    <w:rsid w:val="00B17016"/>
    <w:rsid w:val="00B17D4F"/>
    <w:rsid w:val="00B20AF2"/>
    <w:rsid w:val="00B214DD"/>
    <w:rsid w:val="00B216F9"/>
    <w:rsid w:val="00B22056"/>
    <w:rsid w:val="00B229BE"/>
    <w:rsid w:val="00B22A4A"/>
    <w:rsid w:val="00B22D02"/>
    <w:rsid w:val="00B23157"/>
    <w:rsid w:val="00B23BED"/>
    <w:rsid w:val="00B23C29"/>
    <w:rsid w:val="00B241E3"/>
    <w:rsid w:val="00B25C72"/>
    <w:rsid w:val="00B25E6F"/>
    <w:rsid w:val="00B27220"/>
    <w:rsid w:val="00B27A6D"/>
    <w:rsid w:val="00B27F62"/>
    <w:rsid w:val="00B3064F"/>
    <w:rsid w:val="00B3098F"/>
    <w:rsid w:val="00B30A2A"/>
    <w:rsid w:val="00B30B07"/>
    <w:rsid w:val="00B314D0"/>
    <w:rsid w:val="00B31F6E"/>
    <w:rsid w:val="00B324B7"/>
    <w:rsid w:val="00B32F2D"/>
    <w:rsid w:val="00B32FAF"/>
    <w:rsid w:val="00B3370B"/>
    <w:rsid w:val="00B33E84"/>
    <w:rsid w:val="00B344C2"/>
    <w:rsid w:val="00B34C4E"/>
    <w:rsid w:val="00B35035"/>
    <w:rsid w:val="00B35221"/>
    <w:rsid w:val="00B356B5"/>
    <w:rsid w:val="00B35833"/>
    <w:rsid w:val="00B3598F"/>
    <w:rsid w:val="00B35B82"/>
    <w:rsid w:val="00B3690C"/>
    <w:rsid w:val="00B370C8"/>
    <w:rsid w:val="00B40330"/>
    <w:rsid w:val="00B406E5"/>
    <w:rsid w:val="00B4299A"/>
    <w:rsid w:val="00B42A94"/>
    <w:rsid w:val="00B42C20"/>
    <w:rsid w:val="00B42D9A"/>
    <w:rsid w:val="00B42F20"/>
    <w:rsid w:val="00B43CED"/>
    <w:rsid w:val="00B44509"/>
    <w:rsid w:val="00B44D96"/>
    <w:rsid w:val="00B4521F"/>
    <w:rsid w:val="00B45928"/>
    <w:rsid w:val="00B45E16"/>
    <w:rsid w:val="00B45E8C"/>
    <w:rsid w:val="00B46B3C"/>
    <w:rsid w:val="00B470FE"/>
    <w:rsid w:val="00B47148"/>
    <w:rsid w:val="00B47252"/>
    <w:rsid w:val="00B472B7"/>
    <w:rsid w:val="00B4758C"/>
    <w:rsid w:val="00B47FE8"/>
    <w:rsid w:val="00B50036"/>
    <w:rsid w:val="00B50B5A"/>
    <w:rsid w:val="00B50F51"/>
    <w:rsid w:val="00B51403"/>
    <w:rsid w:val="00B515BC"/>
    <w:rsid w:val="00B51A2F"/>
    <w:rsid w:val="00B51B5B"/>
    <w:rsid w:val="00B51BF3"/>
    <w:rsid w:val="00B52111"/>
    <w:rsid w:val="00B528D0"/>
    <w:rsid w:val="00B52E2B"/>
    <w:rsid w:val="00B52FAF"/>
    <w:rsid w:val="00B5323F"/>
    <w:rsid w:val="00B539EB"/>
    <w:rsid w:val="00B54550"/>
    <w:rsid w:val="00B5495B"/>
    <w:rsid w:val="00B54A5A"/>
    <w:rsid w:val="00B54FEB"/>
    <w:rsid w:val="00B55695"/>
    <w:rsid w:val="00B562E6"/>
    <w:rsid w:val="00B5639B"/>
    <w:rsid w:val="00B5660B"/>
    <w:rsid w:val="00B56F41"/>
    <w:rsid w:val="00B576E1"/>
    <w:rsid w:val="00B6004E"/>
    <w:rsid w:val="00B60477"/>
    <w:rsid w:val="00B6072A"/>
    <w:rsid w:val="00B608F1"/>
    <w:rsid w:val="00B60F79"/>
    <w:rsid w:val="00B61337"/>
    <w:rsid w:val="00B61B49"/>
    <w:rsid w:val="00B63591"/>
    <w:rsid w:val="00B635C6"/>
    <w:rsid w:val="00B63704"/>
    <w:rsid w:val="00B63742"/>
    <w:rsid w:val="00B637D9"/>
    <w:rsid w:val="00B63B4A"/>
    <w:rsid w:val="00B64201"/>
    <w:rsid w:val="00B64496"/>
    <w:rsid w:val="00B64498"/>
    <w:rsid w:val="00B648E9"/>
    <w:rsid w:val="00B6604C"/>
    <w:rsid w:val="00B6684A"/>
    <w:rsid w:val="00B67120"/>
    <w:rsid w:val="00B673CA"/>
    <w:rsid w:val="00B6753E"/>
    <w:rsid w:val="00B67550"/>
    <w:rsid w:val="00B679F5"/>
    <w:rsid w:val="00B7117A"/>
    <w:rsid w:val="00B72053"/>
    <w:rsid w:val="00B7234F"/>
    <w:rsid w:val="00B72501"/>
    <w:rsid w:val="00B73B57"/>
    <w:rsid w:val="00B74BDA"/>
    <w:rsid w:val="00B75037"/>
    <w:rsid w:val="00B75159"/>
    <w:rsid w:val="00B759D6"/>
    <w:rsid w:val="00B75AAD"/>
    <w:rsid w:val="00B75D3F"/>
    <w:rsid w:val="00B76633"/>
    <w:rsid w:val="00B7745A"/>
    <w:rsid w:val="00B77723"/>
    <w:rsid w:val="00B77ABB"/>
    <w:rsid w:val="00B77E12"/>
    <w:rsid w:val="00B802CA"/>
    <w:rsid w:val="00B80B08"/>
    <w:rsid w:val="00B815D3"/>
    <w:rsid w:val="00B82DE1"/>
    <w:rsid w:val="00B831A1"/>
    <w:rsid w:val="00B83476"/>
    <w:rsid w:val="00B835D2"/>
    <w:rsid w:val="00B83B6A"/>
    <w:rsid w:val="00B83C67"/>
    <w:rsid w:val="00B843A1"/>
    <w:rsid w:val="00B848BE"/>
    <w:rsid w:val="00B84907"/>
    <w:rsid w:val="00B85638"/>
    <w:rsid w:val="00B8573A"/>
    <w:rsid w:val="00B85861"/>
    <w:rsid w:val="00B861A7"/>
    <w:rsid w:val="00B8748B"/>
    <w:rsid w:val="00B87BC1"/>
    <w:rsid w:val="00B91818"/>
    <w:rsid w:val="00B919AB"/>
    <w:rsid w:val="00B91F80"/>
    <w:rsid w:val="00B92699"/>
    <w:rsid w:val="00B927B0"/>
    <w:rsid w:val="00B92C6F"/>
    <w:rsid w:val="00B92F7A"/>
    <w:rsid w:val="00B93060"/>
    <w:rsid w:val="00B93597"/>
    <w:rsid w:val="00B944AC"/>
    <w:rsid w:val="00B94798"/>
    <w:rsid w:val="00B947FD"/>
    <w:rsid w:val="00B94A46"/>
    <w:rsid w:val="00B94BE5"/>
    <w:rsid w:val="00B96011"/>
    <w:rsid w:val="00B965AF"/>
    <w:rsid w:val="00B96E9F"/>
    <w:rsid w:val="00B97182"/>
    <w:rsid w:val="00B977A2"/>
    <w:rsid w:val="00B97DBD"/>
    <w:rsid w:val="00BA0255"/>
    <w:rsid w:val="00BA06D4"/>
    <w:rsid w:val="00BA075F"/>
    <w:rsid w:val="00BA0A76"/>
    <w:rsid w:val="00BA0D2A"/>
    <w:rsid w:val="00BA0FA7"/>
    <w:rsid w:val="00BA0FA8"/>
    <w:rsid w:val="00BA11C6"/>
    <w:rsid w:val="00BA1218"/>
    <w:rsid w:val="00BA148A"/>
    <w:rsid w:val="00BA1D32"/>
    <w:rsid w:val="00BA1DBF"/>
    <w:rsid w:val="00BA256B"/>
    <w:rsid w:val="00BA3DFA"/>
    <w:rsid w:val="00BA49CD"/>
    <w:rsid w:val="00BA4DC7"/>
    <w:rsid w:val="00BA52C1"/>
    <w:rsid w:val="00BA55A6"/>
    <w:rsid w:val="00BA58C0"/>
    <w:rsid w:val="00BA5CE0"/>
    <w:rsid w:val="00BA6166"/>
    <w:rsid w:val="00BA64DC"/>
    <w:rsid w:val="00BA683A"/>
    <w:rsid w:val="00BA76B1"/>
    <w:rsid w:val="00BB0423"/>
    <w:rsid w:val="00BB0752"/>
    <w:rsid w:val="00BB16B3"/>
    <w:rsid w:val="00BB2327"/>
    <w:rsid w:val="00BB2B1F"/>
    <w:rsid w:val="00BB2B80"/>
    <w:rsid w:val="00BB2F0B"/>
    <w:rsid w:val="00BB4C56"/>
    <w:rsid w:val="00BB4F51"/>
    <w:rsid w:val="00BB5F6C"/>
    <w:rsid w:val="00BB60C3"/>
    <w:rsid w:val="00BB6796"/>
    <w:rsid w:val="00BB690D"/>
    <w:rsid w:val="00BB69B6"/>
    <w:rsid w:val="00BB6B1D"/>
    <w:rsid w:val="00BB6C88"/>
    <w:rsid w:val="00BB6ECF"/>
    <w:rsid w:val="00BB74B3"/>
    <w:rsid w:val="00BB76A1"/>
    <w:rsid w:val="00BB777A"/>
    <w:rsid w:val="00BB7C25"/>
    <w:rsid w:val="00BC0B9D"/>
    <w:rsid w:val="00BC1424"/>
    <w:rsid w:val="00BC1765"/>
    <w:rsid w:val="00BC1CC3"/>
    <w:rsid w:val="00BC1DFC"/>
    <w:rsid w:val="00BC2243"/>
    <w:rsid w:val="00BC235F"/>
    <w:rsid w:val="00BC2507"/>
    <w:rsid w:val="00BC27EF"/>
    <w:rsid w:val="00BC2CA6"/>
    <w:rsid w:val="00BC4499"/>
    <w:rsid w:val="00BC47D8"/>
    <w:rsid w:val="00BC4B11"/>
    <w:rsid w:val="00BC5454"/>
    <w:rsid w:val="00BC56EB"/>
    <w:rsid w:val="00BC5961"/>
    <w:rsid w:val="00BC5C69"/>
    <w:rsid w:val="00BC6187"/>
    <w:rsid w:val="00BC693E"/>
    <w:rsid w:val="00BC760B"/>
    <w:rsid w:val="00BD0152"/>
    <w:rsid w:val="00BD028F"/>
    <w:rsid w:val="00BD03C9"/>
    <w:rsid w:val="00BD07F4"/>
    <w:rsid w:val="00BD087D"/>
    <w:rsid w:val="00BD0916"/>
    <w:rsid w:val="00BD137C"/>
    <w:rsid w:val="00BD16D1"/>
    <w:rsid w:val="00BD219A"/>
    <w:rsid w:val="00BD2539"/>
    <w:rsid w:val="00BD26D8"/>
    <w:rsid w:val="00BD2C2C"/>
    <w:rsid w:val="00BD2C42"/>
    <w:rsid w:val="00BD307A"/>
    <w:rsid w:val="00BD3327"/>
    <w:rsid w:val="00BD3698"/>
    <w:rsid w:val="00BD44A4"/>
    <w:rsid w:val="00BD55C0"/>
    <w:rsid w:val="00BD58F5"/>
    <w:rsid w:val="00BD6469"/>
    <w:rsid w:val="00BD65E1"/>
    <w:rsid w:val="00BD6A70"/>
    <w:rsid w:val="00BD6BF2"/>
    <w:rsid w:val="00BD6EF9"/>
    <w:rsid w:val="00BD754C"/>
    <w:rsid w:val="00BD772A"/>
    <w:rsid w:val="00BD7916"/>
    <w:rsid w:val="00BD7970"/>
    <w:rsid w:val="00BE002F"/>
    <w:rsid w:val="00BE02E5"/>
    <w:rsid w:val="00BE116E"/>
    <w:rsid w:val="00BE14AD"/>
    <w:rsid w:val="00BE194D"/>
    <w:rsid w:val="00BE1EB6"/>
    <w:rsid w:val="00BE2053"/>
    <w:rsid w:val="00BE235C"/>
    <w:rsid w:val="00BE26E8"/>
    <w:rsid w:val="00BE29DD"/>
    <w:rsid w:val="00BE2AB1"/>
    <w:rsid w:val="00BE350B"/>
    <w:rsid w:val="00BE35C9"/>
    <w:rsid w:val="00BE3A79"/>
    <w:rsid w:val="00BE3B06"/>
    <w:rsid w:val="00BE4556"/>
    <w:rsid w:val="00BE4C3A"/>
    <w:rsid w:val="00BE576A"/>
    <w:rsid w:val="00BE6073"/>
    <w:rsid w:val="00BE72FD"/>
    <w:rsid w:val="00BE74D1"/>
    <w:rsid w:val="00BE786F"/>
    <w:rsid w:val="00BE7B02"/>
    <w:rsid w:val="00BF0C38"/>
    <w:rsid w:val="00BF0F2C"/>
    <w:rsid w:val="00BF139F"/>
    <w:rsid w:val="00BF15E4"/>
    <w:rsid w:val="00BF1728"/>
    <w:rsid w:val="00BF1BED"/>
    <w:rsid w:val="00BF1EF8"/>
    <w:rsid w:val="00BF2674"/>
    <w:rsid w:val="00BF2DE5"/>
    <w:rsid w:val="00BF316D"/>
    <w:rsid w:val="00BF31F1"/>
    <w:rsid w:val="00BF388B"/>
    <w:rsid w:val="00BF3C29"/>
    <w:rsid w:val="00BF3DAB"/>
    <w:rsid w:val="00BF4139"/>
    <w:rsid w:val="00BF47F3"/>
    <w:rsid w:val="00BF4827"/>
    <w:rsid w:val="00BF4AD7"/>
    <w:rsid w:val="00BF4C49"/>
    <w:rsid w:val="00BF4C68"/>
    <w:rsid w:val="00BF53DC"/>
    <w:rsid w:val="00BF5DA2"/>
    <w:rsid w:val="00BF5F69"/>
    <w:rsid w:val="00BF5F85"/>
    <w:rsid w:val="00BF6338"/>
    <w:rsid w:val="00BF6536"/>
    <w:rsid w:val="00BF6679"/>
    <w:rsid w:val="00BF6D56"/>
    <w:rsid w:val="00BF7DFA"/>
    <w:rsid w:val="00C003F5"/>
    <w:rsid w:val="00C0079D"/>
    <w:rsid w:val="00C00D03"/>
    <w:rsid w:val="00C00F34"/>
    <w:rsid w:val="00C01151"/>
    <w:rsid w:val="00C017B2"/>
    <w:rsid w:val="00C01DD3"/>
    <w:rsid w:val="00C01DFC"/>
    <w:rsid w:val="00C02205"/>
    <w:rsid w:val="00C0282B"/>
    <w:rsid w:val="00C02CA7"/>
    <w:rsid w:val="00C02E62"/>
    <w:rsid w:val="00C03D01"/>
    <w:rsid w:val="00C04292"/>
    <w:rsid w:val="00C04382"/>
    <w:rsid w:val="00C049E5"/>
    <w:rsid w:val="00C04D8A"/>
    <w:rsid w:val="00C0517A"/>
    <w:rsid w:val="00C05343"/>
    <w:rsid w:val="00C05381"/>
    <w:rsid w:val="00C067E0"/>
    <w:rsid w:val="00C06B78"/>
    <w:rsid w:val="00C074B8"/>
    <w:rsid w:val="00C075D0"/>
    <w:rsid w:val="00C1025D"/>
    <w:rsid w:val="00C103AB"/>
    <w:rsid w:val="00C11821"/>
    <w:rsid w:val="00C118D8"/>
    <w:rsid w:val="00C12D93"/>
    <w:rsid w:val="00C12EE2"/>
    <w:rsid w:val="00C13419"/>
    <w:rsid w:val="00C139DE"/>
    <w:rsid w:val="00C13A51"/>
    <w:rsid w:val="00C13B55"/>
    <w:rsid w:val="00C13C3F"/>
    <w:rsid w:val="00C13CBD"/>
    <w:rsid w:val="00C13DB6"/>
    <w:rsid w:val="00C142BD"/>
    <w:rsid w:val="00C14B57"/>
    <w:rsid w:val="00C15671"/>
    <w:rsid w:val="00C15D34"/>
    <w:rsid w:val="00C16489"/>
    <w:rsid w:val="00C16848"/>
    <w:rsid w:val="00C168C0"/>
    <w:rsid w:val="00C16B43"/>
    <w:rsid w:val="00C16BF9"/>
    <w:rsid w:val="00C16C12"/>
    <w:rsid w:val="00C1711E"/>
    <w:rsid w:val="00C174C6"/>
    <w:rsid w:val="00C17E6E"/>
    <w:rsid w:val="00C17F0A"/>
    <w:rsid w:val="00C2001A"/>
    <w:rsid w:val="00C203E1"/>
    <w:rsid w:val="00C20446"/>
    <w:rsid w:val="00C20915"/>
    <w:rsid w:val="00C2185E"/>
    <w:rsid w:val="00C21A06"/>
    <w:rsid w:val="00C221D0"/>
    <w:rsid w:val="00C22CD7"/>
    <w:rsid w:val="00C23520"/>
    <w:rsid w:val="00C2366E"/>
    <w:rsid w:val="00C23A6B"/>
    <w:rsid w:val="00C24097"/>
    <w:rsid w:val="00C246D7"/>
    <w:rsid w:val="00C247E5"/>
    <w:rsid w:val="00C24DA9"/>
    <w:rsid w:val="00C24F12"/>
    <w:rsid w:val="00C24F98"/>
    <w:rsid w:val="00C25082"/>
    <w:rsid w:val="00C25277"/>
    <w:rsid w:val="00C255B0"/>
    <w:rsid w:val="00C25E6A"/>
    <w:rsid w:val="00C25E7D"/>
    <w:rsid w:val="00C265D4"/>
    <w:rsid w:val="00C273AE"/>
    <w:rsid w:val="00C275FC"/>
    <w:rsid w:val="00C27B1C"/>
    <w:rsid w:val="00C27D57"/>
    <w:rsid w:val="00C27E01"/>
    <w:rsid w:val="00C27F2F"/>
    <w:rsid w:val="00C303C0"/>
    <w:rsid w:val="00C30D84"/>
    <w:rsid w:val="00C3145E"/>
    <w:rsid w:val="00C315AE"/>
    <w:rsid w:val="00C3160C"/>
    <w:rsid w:val="00C31741"/>
    <w:rsid w:val="00C317A7"/>
    <w:rsid w:val="00C31EE1"/>
    <w:rsid w:val="00C32310"/>
    <w:rsid w:val="00C33431"/>
    <w:rsid w:val="00C337A9"/>
    <w:rsid w:val="00C33AEC"/>
    <w:rsid w:val="00C34536"/>
    <w:rsid w:val="00C34CDD"/>
    <w:rsid w:val="00C34F9A"/>
    <w:rsid w:val="00C3608B"/>
    <w:rsid w:val="00C36203"/>
    <w:rsid w:val="00C36B2D"/>
    <w:rsid w:val="00C3746F"/>
    <w:rsid w:val="00C37CDE"/>
    <w:rsid w:val="00C408AF"/>
    <w:rsid w:val="00C40C58"/>
    <w:rsid w:val="00C40F81"/>
    <w:rsid w:val="00C410D2"/>
    <w:rsid w:val="00C417CD"/>
    <w:rsid w:val="00C4189C"/>
    <w:rsid w:val="00C41AFB"/>
    <w:rsid w:val="00C41C08"/>
    <w:rsid w:val="00C41C3F"/>
    <w:rsid w:val="00C42A78"/>
    <w:rsid w:val="00C42FB2"/>
    <w:rsid w:val="00C437D6"/>
    <w:rsid w:val="00C4426C"/>
    <w:rsid w:val="00C4471A"/>
    <w:rsid w:val="00C44CC9"/>
    <w:rsid w:val="00C44D73"/>
    <w:rsid w:val="00C44FD9"/>
    <w:rsid w:val="00C45350"/>
    <w:rsid w:val="00C4548D"/>
    <w:rsid w:val="00C45DD1"/>
    <w:rsid w:val="00C4601D"/>
    <w:rsid w:val="00C4698B"/>
    <w:rsid w:val="00C46FE3"/>
    <w:rsid w:val="00C473E7"/>
    <w:rsid w:val="00C47478"/>
    <w:rsid w:val="00C47BD2"/>
    <w:rsid w:val="00C50DFC"/>
    <w:rsid w:val="00C51FA8"/>
    <w:rsid w:val="00C51FF0"/>
    <w:rsid w:val="00C52D4E"/>
    <w:rsid w:val="00C5300F"/>
    <w:rsid w:val="00C53027"/>
    <w:rsid w:val="00C53271"/>
    <w:rsid w:val="00C53343"/>
    <w:rsid w:val="00C53EE2"/>
    <w:rsid w:val="00C54473"/>
    <w:rsid w:val="00C55D94"/>
    <w:rsid w:val="00C56258"/>
    <w:rsid w:val="00C57567"/>
    <w:rsid w:val="00C57582"/>
    <w:rsid w:val="00C6017A"/>
    <w:rsid w:val="00C6087E"/>
    <w:rsid w:val="00C608EF"/>
    <w:rsid w:val="00C60FC1"/>
    <w:rsid w:val="00C60FF0"/>
    <w:rsid w:val="00C612BB"/>
    <w:rsid w:val="00C612BF"/>
    <w:rsid w:val="00C618F6"/>
    <w:rsid w:val="00C619EE"/>
    <w:rsid w:val="00C6207E"/>
    <w:rsid w:val="00C62E67"/>
    <w:rsid w:val="00C6339B"/>
    <w:rsid w:val="00C63770"/>
    <w:rsid w:val="00C64784"/>
    <w:rsid w:val="00C64AD8"/>
    <w:rsid w:val="00C64FAE"/>
    <w:rsid w:val="00C65320"/>
    <w:rsid w:val="00C65CEF"/>
    <w:rsid w:val="00C66344"/>
    <w:rsid w:val="00C66679"/>
    <w:rsid w:val="00C66B58"/>
    <w:rsid w:val="00C66D4A"/>
    <w:rsid w:val="00C66E0E"/>
    <w:rsid w:val="00C674F7"/>
    <w:rsid w:val="00C67955"/>
    <w:rsid w:val="00C70074"/>
    <w:rsid w:val="00C70244"/>
    <w:rsid w:val="00C70341"/>
    <w:rsid w:val="00C70438"/>
    <w:rsid w:val="00C70918"/>
    <w:rsid w:val="00C716CF"/>
    <w:rsid w:val="00C717CD"/>
    <w:rsid w:val="00C71EAD"/>
    <w:rsid w:val="00C7264D"/>
    <w:rsid w:val="00C72AE3"/>
    <w:rsid w:val="00C73402"/>
    <w:rsid w:val="00C745D7"/>
    <w:rsid w:val="00C74865"/>
    <w:rsid w:val="00C755C8"/>
    <w:rsid w:val="00C758E0"/>
    <w:rsid w:val="00C75A25"/>
    <w:rsid w:val="00C76C64"/>
    <w:rsid w:val="00C76DBB"/>
    <w:rsid w:val="00C7702A"/>
    <w:rsid w:val="00C771B4"/>
    <w:rsid w:val="00C773C8"/>
    <w:rsid w:val="00C807B9"/>
    <w:rsid w:val="00C80A25"/>
    <w:rsid w:val="00C81B0E"/>
    <w:rsid w:val="00C81DB4"/>
    <w:rsid w:val="00C81DF7"/>
    <w:rsid w:val="00C8242E"/>
    <w:rsid w:val="00C8287D"/>
    <w:rsid w:val="00C82930"/>
    <w:rsid w:val="00C8301A"/>
    <w:rsid w:val="00C83A04"/>
    <w:rsid w:val="00C83E34"/>
    <w:rsid w:val="00C846DF"/>
    <w:rsid w:val="00C84704"/>
    <w:rsid w:val="00C84CB8"/>
    <w:rsid w:val="00C84F73"/>
    <w:rsid w:val="00C8531E"/>
    <w:rsid w:val="00C853A9"/>
    <w:rsid w:val="00C8572E"/>
    <w:rsid w:val="00C85B6C"/>
    <w:rsid w:val="00C85E1F"/>
    <w:rsid w:val="00C85ED3"/>
    <w:rsid w:val="00C86202"/>
    <w:rsid w:val="00C86A34"/>
    <w:rsid w:val="00C86B92"/>
    <w:rsid w:val="00C86BFE"/>
    <w:rsid w:val="00C86D8A"/>
    <w:rsid w:val="00C871DD"/>
    <w:rsid w:val="00C873ED"/>
    <w:rsid w:val="00C87F73"/>
    <w:rsid w:val="00C900B0"/>
    <w:rsid w:val="00C90231"/>
    <w:rsid w:val="00C9080B"/>
    <w:rsid w:val="00C90D8A"/>
    <w:rsid w:val="00C90EF9"/>
    <w:rsid w:val="00C9108F"/>
    <w:rsid w:val="00C91CEC"/>
    <w:rsid w:val="00C92714"/>
    <w:rsid w:val="00C9286B"/>
    <w:rsid w:val="00C92949"/>
    <w:rsid w:val="00C9312F"/>
    <w:rsid w:val="00C933D8"/>
    <w:rsid w:val="00C93FE7"/>
    <w:rsid w:val="00C9488A"/>
    <w:rsid w:val="00C94AD2"/>
    <w:rsid w:val="00C950CA"/>
    <w:rsid w:val="00C958E9"/>
    <w:rsid w:val="00C95ED6"/>
    <w:rsid w:val="00CA0559"/>
    <w:rsid w:val="00CA1B03"/>
    <w:rsid w:val="00CA1DCF"/>
    <w:rsid w:val="00CA1FB0"/>
    <w:rsid w:val="00CA24D1"/>
    <w:rsid w:val="00CA27A0"/>
    <w:rsid w:val="00CA2E1D"/>
    <w:rsid w:val="00CA394B"/>
    <w:rsid w:val="00CA39CC"/>
    <w:rsid w:val="00CA4743"/>
    <w:rsid w:val="00CA48B2"/>
    <w:rsid w:val="00CA5B35"/>
    <w:rsid w:val="00CA5D33"/>
    <w:rsid w:val="00CA5FEA"/>
    <w:rsid w:val="00CA6014"/>
    <w:rsid w:val="00CA6568"/>
    <w:rsid w:val="00CA65FC"/>
    <w:rsid w:val="00CA688E"/>
    <w:rsid w:val="00CA6B6A"/>
    <w:rsid w:val="00CA7247"/>
    <w:rsid w:val="00CA735E"/>
    <w:rsid w:val="00CA73DD"/>
    <w:rsid w:val="00CA7931"/>
    <w:rsid w:val="00CA7D8A"/>
    <w:rsid w:val="00CB0DDD"/>
    <w:rsid w:val="00CB10A6"/>
    <w:rsid w:val="00CB1162"/>
    <w:rsid w:val="00CB138F"/>
    <w:rsid w:val="00CB13E0"/>
    <w:rsid w:val="00CB1919"/>
    <w:rsid w:val="00CB1D50"/>
    <w:rsid w:val="00CB1E6C"/>
    <w:rsid w:val="00CB2197"/>
    <w:rsid w:val="00CB248C"/>
    <w:rsid w:val="00CB254E"/>
    <w:rsid w:val="00CB25B9"/>
    <w:rsid w:val="00CB2EDC"/>
    <w:rsid w:val="00CB348C"/>
    <w:rsid w:val="00CB3934"/>
    <w:rsid w:val="00CB4046"/>
    <w:rsid w:val="00CB43FA"/>
    <w:rsid w:val="00CB4A69"/>
    <w:rsid w:val="00CB4EF9"/>
    <w:rsid w:val="00CB5A89"/>
    <w:rsid w:val="00CB5B31"/>
    <w:rsid w:val="00CB5BE7"/>
    <w:rsid w:val="00CB6EE3"/>
    <w:rsid w:val="00CB712E"/>
    <w:rsid w:val="00CB7234"/>
    <w:rsid w:val="00CB76B8"/>
    <w:rsid w:val="00CB7703"/>
    <w:rsid w:val="00CB783B"/>
    <w:rsid w:val="00CB7FBA"/>
    <w:rsid w:val="00CC0248"/>
    <w:rsid w:val="00CC0D6B"/>
    <w:rsid w:val="00CC0E1E"/>
    <w:rsid w:val="00CC1189"/>
    <w:rsid w:val="00CC1516"/>
    <w:rsid w:val="00CC1F79"/>
    <w:rsid w:val="00CC23C6"/>
    <w:rsid w:val="00CC27E6"/>
    <w:rsid w:val="00CC2803"/>
    <w:rsid w:val="00CC3489"/>
    <w:rsid w:val="00CC3902"/>
    <w:rsid w:val="00CC3A68"/>
    <w:rsid w:val="00CC468B"/>
    <w:rsid w:val="00CC4B5B"/>
    <w:rsid w:val="00CC61F1"/>
    <w:rsid w:val="00CC6423"/>
    <w:rsid w:val="00CC657C"/>
    <w:rsid w:val="00CC68D6"/>
    <w:rsid w:val="00CC707F"/>
    <w:rsid w:val="00CC777D"/>
    <w:rsid w:val="00CC79CD"/>
    <w:rsid w:val="00CC7CC8"/>
    <w:rsid w:val="00CD0761"/>
    <w:rsid w:val="00CD0CEE"/>
    <w:rsid w:val="00CD13B4"/>
    <w:rsid w:val="00CD1841"/>
    <w:rsid w:val="00CD1BF1"/>
    <w:rsid w:val="00CD27C1"/>
    <w:rsid w:val="00CD2A3E"/>
    <w:rsid w:val="00CD31C1"/>
    <w:rsid w:val="00CD35F1"/>
    <w:rsid w:val="00CD4704"/>
    <w:rsid w:val="00CD4AE1"/>
    <w:rsid w:val="00CD4B3B"/>
    <w:rsid w:val="00CD4C9C"/>
    <w:rsid w:val="00CD5401"/>
    <w:rsid w:val="00CD5716"/>
    <w:rsid w:val="00CD5927"/>
    <w:rsid w:val="00CD62E3"/>
    <w:rsid w:val="00CD6524"/>
    <w:rsid w:val="00CD68DD"/>
    <w:rsid w:val="00CD6AA3"/>
    <w:rsid w:val="00CD6C24"/>
    <w:rsid w:val="00CD6C94"/>
    <w:rsid w:val="00CD7649"/>
    <w:rsid w:val="00CD7760"/>
    <w:rsid w:val="00CD794A"/>
    <w:rsid w:val="00CD7B8B"/>
    <w:rsid w:val="00CE0361"/>
    <w:rsid w:val="00CE05C6"/>
    <w:rsid w:val="00CE073C"/>
    <w:rsid w:val="00CE1DF8"/>
    <w:rsid w:val="00CE2B04"/>
    <w:rsid w:val="00CE2C04"/>
    <w:rsid w:val="00CE3F20"/>
    <w:rsid w:val="00CE484E"/>
    <w:rsid w:val="00CE4E0D"/>
    <w:rsid w:val="00CE4F18"/>
    <w:rsid w:val="00CE5298"/>
    <w:rsid w:val="00CE5416"/>
    <w:rsid w:val="00CE58EB"/>
    <w:rsid w:val="00CE596B"/>
    <w:rsid w:val="00CE5F0A"/>
    <w:rsid w:val="00CE643F"/>
    <w:rsid w:val="00CE6523"/>
    <w:rsid w:val="00CE681D"/>
    <w:rsid w:val="00CE6A32"/>
    <w:rsid w:val="00CF091E"/>
    <w:rsid w:val="00CF0A69"/>
    <w:rsid w:val="00CF10F6"/>
    <w:rsid w:val="00CF1AC7"/>
    <w:rsid w:val="00CF1E7E"/>
    <w:rsid w:val="00CF26A8"/>
    <w:rsid w:val="00CF35B2"/>
    <w:rsid w:val="00CF38D4"/>
    <w:rsid w:val="00CF472E"/>
    <w:rsid w:val="00CF50F7"/>
    <w:rsid w:val="00CF5593"/>
    <w:rsid w:val="00CF5672"/>
    <w:rsid w:val="00CF5C9C"/>
    <w:rsid w:val="00CF60B2"/>
    <w:rsid w:val="00CF6BB9"/>
    <w:rsid w:val="00CF6DD6"/>
    <w:rsid w:val="00CF7017"/>
    <w:rsid w:val="00CF766E"/>
    <w:rsid w:val="00D004D6"/>
    <w:rsid w:val="00D005AD"/>
    <w:rsid w:val="00D00FDE"/>
    <w:rsid w:val="00D022D6"/>
    <w:rsid w:val="00D026EE"/>
    <w:rsid w:val="00D02876"/>
    <w:rsid w:val="00D02BFF"/>
    <w:rsid w:val="00D0316E"/>
    <w:rsid w:val="00D03342"/>
    <w:rsid w:val="00D03563"/>
    <w:rsid w:val="00D03F31"/>
    <w:rsid w:val="00D045FD"/>
    <w:rsid w:val="00D0566D"/>
    <w:rsid w:val="00D0774F"/>
    <w:rsid w:val="00D07D72"/>
    <w:rsid w:val="00D1038E"/>
    <w:rsid w:val="00D103E0"/>
    <w:rsid w:val="00D1060F"/>
    <w:rsid w:val="00D10D5F"/>
    <w:rsid w:val="00D1140B"/>
    <w:rsid w:val="00D11823"/>
    <w:rsid w:val="00D118F2"/>
    <w:rsid w:val="00D12563"/>
    <w:rsid w:val="00D12670"/>
    <w:rsid w:val="00D12D32"/>
    <w:rsid w:val="00D12E0E"/>
    <w:rsid w:val="00D132C3"/>
    <w:rsid w:val="00D13444"/>
    <w:rsid w:val="00D137F1"/>
    <w:rsid w:val="00D13887"/>
    <w:rsid w:val="00D140E8"/>
    <w:rsid w:val="00D148D1"/>
    <w:rsid w:val="00D149AD"/>
    <w:rsid w:val="00D159F8"/>
    <w:rsid w:val="00D1637D"/>
    <w:rsid w:val="00D16CC4"/>
    <w:rsid w:val="00D171C8"/>
    <w:rsid w:val="00D17440"/>
    <w:rsid w:val="00D17AFC"/>
    <w:rsid w:val="00D17CFB"/>
    <w:rsid w:val="00D17D1E"/>
    <w:rsid w:val="00D2009D"/>
    <w:rsid w:val="00D20822"/>
    <w:rsid w:val="00D20982"/>
    <w:rsid w:val="00D21D1B"/>
    <w:rsid w:val="00D22287"/>
    <w:rsid w:val="00D22567"/>
    <w:rsid w:val="00D226B9"/>
    <w:rsid w:val="00D23437"/>
    <w:rsid w:val="00D2381C"/>
    <w:rsid w:val="00D23A94"/>
    <w:rsid w:val="00D23F38"/>
    <w:rsid w:val="00D24346"/>
    <w:rsid w:val="00D2459A"/>
    <w:rsid w:val="00D2481A"/>
    <w:rsid w:val="00D248D9"/>
    <w:rsid w:val="00D24B50"/>
    <w:rsid w:val="00D24CD7"/>
    <w:rsid w:val="00D24D7B"/>
    <w:rsid w:val="00D2502F"/>
    <w:rsid w:val="00D25450"/>
    <w:rsid w:val="00D25F3E"/>
    <w:rsid w:val="00D26C87"/>
    <w:rsid w:val="00D27131"/>
    <w:rsid w:val="00D27825"/>
    <w:rsid w:val="00D3147E"/>
    <w:rsid w:val="00D31BBD"/>
    <w:rsid w:val="00D329A0"/>
    <w:rsid w:val="00D32CE1"/>
    <w:rsid w:val="00D32E58"/>
    <w:rsid w:val="00D33010"/>
    <w:rsid w:val="00D334CD"/>
    <w:rsid w:val="00D3395C"/>
    <w:rsid w:val="00D34412"/>
    <w:rsid w:val="00D34D6B"/>
    <w:rsid w:val="00D350C5"/>
    <w:rsid w:val="00D350D9"/>
    <w:rsid w:val="00D35628"/>
    <w:rsid w:val="00D35BAA"/>
    <w:rsid w:val="00D36072"/>
    <w:rsid w:val="00D36122"/>
    <w:rsid w:val="00D362E0"/>
    <w:rsid w:val="00D367F0"/>
    <w:rsid w:val="00D36E7E"/>
    <w:rsid w:val="00D3756A"/>
    <w:rsid w:val="00D375DA"/>
    <w:rsid w:val="00D377AE"/>
    <w:rsid w:val="00D400D8"/>
    <w:rsid w:val="00D403D0"/>
    <w:rsid w:val="00D404B1"/>
    <w:rsid w:val="00D4113F"/>
    <w:rsid w:val="00D4119C"/>
    <w:rsid w:val="00D412B3"/>
    <w:rsid w:val="00D41378"/>
    <w:rsid w:val="00D41616"/>
    <w:rsid w:val="00D42CD9"/>
    <w:rsid w:val="00D43988"/>
    <w:rsid w:val="00D43AC4"/>
    <w:rsid w:val="00D44448"/>
    <w:rsid w:val="00D44B46"/>
    <w:rsid w:val="00D44BDE"/>
    <w:rsid w:val="00D44E88"/>
    <w:rsid w:val="00D456A5"/>
    <w:rsid w:val="00D45B50"/>
    <w:rsid w:val="00D45CA8"/>
    <w:rsid w:val="00D46109"/>
    <w:rsid w:val="00D46C3C"/>
    <w:rsid w:val="00D46D0E"/>
    <w:rsid w:val="00D46E71"/>
    <w:rsid w:val="00D4707E"/>
    <w:rsid w:val="00D4721D"/>
    <w:rsid w:val="00D47867"/>
    <w:rsid w:val="00D47D6E"/>
    <w:rsid w:val="00D47E2C"/>
    <w:rsid w:val="00D47EAF"/>
    <w:rsid w:val="00D47F54"/>
    <w:rsid w:val="00D504F6"/>
    <w:rsid w:val="00D50C02"/>
    <w:rsid w:val="00D50E7A"/>
    <w:rsid w:val="00D5148C"/>
    <w:rsid w:val="00D51552"/>
    <w:rsid w:val="00D516F9"/>
    <w:rsid w:val="00D51B27"/>
    <w:rsid w:val="00D5227E"/>
    <w:rsid w:val="00D52583"/>
    <w:rsid w:val="00D52D7F"/>
    <w:rsid w:val="00D52F8D"/>
    <w:rsid w:val="00D53034"/>
    <w:rsid w:val="00D532F5"/>
    <w:rsid w:val="00D5331B"/>
    <w:rsid w:val="00D54373"/>
    <w:rsid w:val="00D545E9"/>
    <w:rsid w:val="00D547BC"/>
    <w:rsid w:val="00D54E43"/>
    <w:rsid w:val="00D54F28"/>
    <w:rsid w:val="00D559DA"/>
    <w:rsid w:val="00D55A05"/>
    <w:rsid w:val="00D564EF"/>
    <w:rsid w:val="00D56DB7"/>
    <w:rsid w:val="00D57061"/>
    <w:rsid w:val="00D570FB"/>
    <w:rsid w:val="00D57447"/>
    <w:rsid w:val="00D57E09"/>
    <w:rsid w:val="00D60E3C"/>
    <w:rsid w:val="00D613B2"/>
    <w:rsid w:val="00D61A9F"/>
    <w:rsid w:val="00D61D25"/>
    <w:rsid w:val="00D61EDD"/>
    <w:rsid w:val="00D622E3"/>
    <w:rsid w:val="00D628AF"/>
    <w:rsid w:val="00D6294B"/>
    <w:rsid w:val="00D630BA"/>
    <w:rsid w:val="00D6353D"/>
    <w:rsid w:val="00D6367B"/>
    <w:rsid w:val="00D6429C"/>
    <w:rsid w:val="00D642D7"/>
    <w:rsid w:val="00D64490"/>
    <w:rsid w:val="00D646F2"/>
    <w:rsid w:val="00D64A3D"/>
    <w:rsid w:val="00D66331"/>
    <w:rsid w:val="00D664CB"/>
    <w:rsid w:val="00D66697"/>
    <w:rsid w:val="00D66EDC"/>
    <w:rsid w:val="00D67684"/>
    <w:rsid w:val="00D67ACA"/>
    <w:rsid w:val="00D67F69"/>
    <w:rsid w:val="00D70737"/>
    <w:rsid w:val="00D71103"/>
    <w:rsid w:val="00D72420"/>
    <w:rsid w:val="00D72551"/>
    <w:rsid w:val="00D72CE2"/>
    <w:rsid w:val="00D72DF4"/>
    <w:rsid w:val="00D73302"/>
    <w:rsid w:val="00D73ADE"/>
    <w:rsid w:val="00D73AF1"/>
    <w:rsid w:val="00D73FBC"/>
    <w:rsid w:val="00D74504"/>
    <w:rsid w:val="00D74639"/>
    <w:rsid w:val="00D74F04"/>
    <w:rsid w:val="00D762C4"/>
    <w:rsid w:val="00D7743F"/>
    <w:rsid w:val="00D77A79"/>
    <w:rsid w:val="00D77EF0"/>
    <w:rsid w:val="00D77F35"/>
    <w:rsid w:val="00D8093F"/>
    <w:rsid w:val="00D809B7"/>
    <w:rsid w:val="00D810C4"/>
    <w:rsid w:val="00D813B0"/>
    <w:rsid w:val="00D813C5"/>
    <w:rsid w:val="00D81A57"/>
    <w:rsid w:val="00D81C43"/>
    <w:rsid w:val="00D81FFC"/>
    <w:rsid w:val="00D823FE"/>
    <w:rsid w:val="00D82A4C"/>
    <w:rsid w:val="00D82E01"/>
    <w:rsid w:val="00D83A8B"/>
    <w:rsid w:val="00D83DB5"/>
    <w:rsid w:val="00D83DBF"/>
    <w:rsid w:val="00D84061"/>
    <w:rsid w:val="00D844E7"/>
    <w:rsid w:val="00D8483A"/>
    <w:rsid w:val="00D85683"/>
    <w:rsid w:val="00D8671C"/>
    <w:rsid w:val="00D8682D"/>
    <w:rsid w:val="00D86B88"/>
    <w:rsid w:val="00D87125"/>
    <w:rsid w:val="00D87145"/>
    <w:rsid w:val="00D874FB"/>
    <w:rsid w:val="00D90AA7"/>
    <w:rsid w:val="00D90EC1"/>
    <w:rsid w:val="00D90F8A"/>
    <w:rsid w:val="00D91621"/>
    <w:rsid w:val="00D918C7"/>
    <w:rsid w:val="00D91B8F"/>
    <w:rsid w:val="00D91E9B"/>
    <w:rsid w:val="00D9250C"/>
    <w:rsid w:val="00D92CF0"/>
    <w:rsid w:val="00D92D9C"/>
    <w:rsid w:val="00D930F2"/>
    <w:rsid w:val="00D93342"/>
    <w:rsid w:val="00D93415"/>
    <w:rsid w:val="00D93B40"/>
    <w:rsid w:val="00D93FFD"/>
    <w:rsid w:val="00D950AF"/>
    <w:rsid w:val="00D9545B"/>
    <w:rsid w:val="00D9553A"/>
    <w:rsid w:val="00D957EB"/>
    <w:rsid w:val="00D9599B"/>
    <w:rsid w:val="00D95BCF"/>
    <w:rsid w:val="00D95FC2"/>
    <w:rsid w:val="00D961EE"/>
    <w:rsid w:val="00D96484"/>
    <w:rsid w:val="00D97077"/>
    <w:rsid w:val="00D97191"/>
    <w:rsid w:val="00D971AA"/>
    <w:rsid w:val="00D97308"/>
    <w:rsid w:val="00D9740F"/>
    <w:rsid w:val="00D97A89"/>
    <w:rsid w:val="00D97B86"/>
    <w:rsid w:val="00D97BA1"/>
    <w:rsid w:val="00D97D8B"/>
    <w:rsid w:val="00DA09FC"/>
    <w:rsid w:val="00DA0DBB"/>
    <w:rsid w:val="00DA1779"/>
    <w:rsid w:val="00DA1E0D"/>
    <w:rsid w:val="00DA1EE5"/>
    <w:rsid w:val="00DA263F"/>
    <w:rsid w:val="00DA2A54"/>
    <w:rsid w:val="00DA3D60"/>
    <w:rsid w:val="00DA44CF"/>
    <w:rsid w:val="00DA4F1D"/>
    <w:rsid w:val="00DA51F4"/>
    <w:rsid w:val="00DA59D2"/>
    <w:rsid w:val="00DA60CB"/>
    <w:rsid w:val="00DA669D"/>
    <w:rsid w:val="00DA776F"/>
    <w:rsid w:val="00DA7B84"/>
    <w:rsid w:val="00DB07BB"/>
    <w:rsid w:val="00DB1330"/>
    <w:rsid w:val="00DB1749"/>
    <w:rsid w:val="00DB1FEA"/>
    <w:rsid w:val="00DB2368"/>
    <w:rsid w:val="00DB24FB"/>
    <w:rsid w:val="00DB2B7E"/>
    <w:rsid w:val="00DB328A"/>
    <w:rsid w:val="00DB36D2"/>
    <w:rsid w:val="00DB3E2C"/>
    <w:rsid w:val="00DB42F9"/>
    <w:rsid w:val="00DB452C"/>
    <w:rsid w:val="00DB476D"/>
    <w:rsid w:val="00DB47C5"/>
    <w:rsid w:val="00DB53DE"/>
    <w:rsid w:val="00DB5719"/>
    <w:rsid w:val="00DB5B6F"/>
    <w:rsid w:val="00DB5BF1"/>
    <w:rsid w:val="00DB5D19"/>
    <w:rsid w:val="00DB5E4A"/>
    <w:rsid w:val="00DB6042"/>
    <w:rsid w:val="00DB624E"/>
    <w:rsid w:val="00DB6888"/>
    <w:rsid w:val="00DB6FF9"/>
    <w:rsid w:val="00DB7A4B"/>
    <w:rsid w:val="00DC02EA"/>
    <w:rsid w:val="00DC092E"/>
    <w:rsid w:val="00DC0A52"/>
    <w:rsid w:val="00DC0BDC"/>
    <w:rsid w:val="00DC0E65"/>
    <w:rsid w:val="00DC1103"/>
    <w:rsid w:val="00DC1117"/>
    <w:rsid w:val="00DC13E6"/>
    <w:rsid w:val="00DC1CA6"/>
    <w:rsid w:val="00DC20CF"/>
    <w:rsid w:val="00DC2259"/>
    <w:rsid w:val="00DC2623"/>
    <w:rsid w:val="00DC31CC"/>
    <w:rsid w:val="00DC3A8D"/>
    <w:rsid w:val="00DC4D65"/>
    <w:rsid w:val="00DC64A0"/>
    <w:rsid w:val="00DC6627"/>
    <w:rsid w:val="00DC6AE4"/>
    <w:rsid w:val="00DC76C3"/>
    <w:rsid w:val="00DC77BF"/>
    <w:rsid w:val="00DC7A5D"/>
    <w:rsid w:val="00DC7B9A"/>
    <w:rsid w:val="00DC7BDA"/>
    <w:rsid w:val="00DC7E69"/>
    <w:rsid w:val="00DD02C0"/>
    <w:rsid w:val="00DD0538"/>
    <w:rsid w:val="00DD1B83"/>
    <w:rsid w:val="00DD1EC6"/>
    <w:rsid w:val="00DD2821"/>
    <w:rsid w:val="00DD2BAF"/>
    <w:rsid w:val="00DD2E32"/>
    <w:rsid w:val="00DD31C4"/>
    <w:rsid w:val="00DD3308"/>
    <w:rsid w:val="00DD3316"/>
    <w:rsid w:val="00DD38FE"/>
    <w:rsid w:val="00DD3E52"/>
    <w:rsid w:val="00DD460E"/>
    <w:rsid w:val="00DD4F5E"/>
    <w:rsid w:val="00DD5517"/>
    <w:rsid w:val="00DD5ADD"/>
    <w:rsid w:val="00DD5E57"/>
    <w:rsid w:val="00DD6DFD"/>
    <w:rsid w:val="00DD6E32"/>
    <w:rsid w:val="00DD7695"/>
    <w:rsid w:val="00DE02BE"/>
    <w:rsid w:val="00DE146E"/>
    <w:rsid w:val="00DE1B0C"/>
    <w:rsid w:val="00DE2E6C"/>
    <w:rsid w:val="00DE2FFE"/>
    <w:rsid w:val="00DE3385"/>
    <w:rsid w:val="00DE3554"/>
    <w:rsid w:val="00DE38A1"/>
    <w:rsid w:val="00DE4300"/>
    <w:rsid w:val="00DE4638"/>
    <w:rsid w:val="00DE4651"/>
    <w:rsid w:val="00DE60D5"/>
    <w:rsid w:val="00DE6569"/>
    <w:rsid w:val="00DE66D7"/>
    <w:rsid w:val="00DE6A04"/>
    <w:rsid w:val="00DE6AAE"/>
    <w:rsid w:val="00DE7265"/>
    <w:rsid w:val="00DE7525"/>
    <w:rsid w:val="00DE7BDC"/>
    <w:rsid w:val="00DF0023"/>
    <w:rsid w:val="00DF048D"/>
    <w:rsid w:val="00DF1251"/>
    <w:rsid w:val="00DF1298"/>
    <w:rsid w:val="00DF1791"/>
    <w:rsid w:val="00DF19C2"/>
    <w:rsid w:val="00DF2353"/>
    <w:rsid w:val="00DF2504"/>
    <w:rsid w:val="00DF2C54"/>
    <w:rsid w:val="00DF3837"/>
    <w:rsid w:val="00DF3AB2"/>
    <w:rsid w:val="00DF5E69"/>
    <w:rsid w:val="00DF6677"/>
    <w:rsid w:val="00DF6D87"/>
    <w:rsid w:val="00DF6FBC"/>
    <w:rsid w:val="00DF78B2"/>
    <w:rsid w:val="00DF7D1A"/>
    <w:rsid w:val="00DF7DD5"/>
    <w:rsid w:val="00DF7ED4"/>
    <w:rsid w:val="00E0029F"/>
    <w:rsid w:val="00E004C5"/>
    <w:rsid w:val="00E0054D"/>
    <w:rsid w:val="00E00898"/>
    <w:rsid w:val="00E019BB"/>
    <w:rsid w:val="00E01CB2"/>
    <w:rsid w:val="00E01DD2"/>
    <w:rsid w:val="00E01F63"/>
    <w:rsid w:val="00E020A9"/>
    <w:rsid w:val="00E02546"/>
    <w:rsid w:val="00E02CFF"/>
    <w:rsid w:val="00E02E2F"/>
    <w:rsid w:val="00E03938"/>
    <w:rsid w:val="00E03CBD"/>
    <w:rsid w:val="00E04751"/>
    <w:rsid w:val="00E04877"/>
    <w:rsid w:val="00E04C45"/>
    <w:rsid w:val="00E04D1C"/>
    <w:rsid w:val="00E05501"/>
    <w:rsid w:val="00E0576B"/>
    <w:rsid w:val="00E058EB"/>
    <w:rsid w:val="00E05A89"/>
    <w:rsid w:val="00E05FA9"/>
    <w:rsid w:val="00E0628E"/>
    <w:rsid w:val="00E06460"/>
    <w:rsid w:val="00E06826"/>
    <w:rsid w:val="00E0689E"/>
    <w:rsid w:val="00E073CF"/>
    <w:rsid w:val="00E077AF"/>
    <w:rsid w:val="00E07BA5"/>
    <w:rsid w:val="00E07D93"/>
    <w:rsid w:val="00E10C42"/>
    <w:rsid w:val="00E114D8"/>
    <w:rsid w:val="00E11C13"/>
    <w:rsid w:val="00E11F04"/>
    <w:rsid w:val="00E12535"/>
    <w:rsid w:val="00E12D89"/>
    <w:rsid w:val="00E13167"/>
    <w:rsid w:val="00E1340B"/>
    <w:rsid w:val="00E13999"/>
    <w:rsid w:val="00E13B9C"/>
    <w:rsid w:val="00E13F81"/>
    <w:rsid w:val="00E14108"/>
    <w:rsid w:val="00E14BA7"/>
    <w:rsid w:val="00E14C53"/>
    <w:rsid w:val="00E14EE9"/>
    <w:rsid w:val="00E15082"/>
    <w:rsid w:val="00E1516D"/>
    <w:rsid w:val="00E15217"/>
    <w:rsid w:val="00E15282"/>
    <w:rsid w:val="00E1557E"/>
    <w:rsid w:val="00E161AD"/>
    <w:rsid w:val="00E16E3C"/>
    <w:rsid w:val="00E17050"/>
    <w:rsid w:val="00E17F53"/>
    <w:rsid w:val="00E2016B"/>
    <w:rsid w:val="00E21479"/>
    <w:rsid w:val="00E21BA1"/>
    <w:rsid w:val="00E21DB7"/>
    <w:rsid w:val="00E2256E"/>
    <w:rsid w:val="00E24195"/>
    <w:rsid w:val="00E24432"/>
    <w:rsid w:val="00E24567"/>
    <w:rsid w:val="00E24F14"/>
    <w:rsid w:val="00E25124"/>
    <w:rsid w:val="00E25239"/>
    <w:rsid w:val="00E25276"/>
    <w:rsid w:val="00E25A4F"/>
    <w:rsid w:val="00E261F8"/>
    <w:rsid w:val="00E2664B"/>
    <w:rsid w:val="00E26973"/>
    <w:rsid w:val="00E26E57"/>
    <w:rsid w:val="00E27467"/>
    <w:rsid w:val="00E27BC6"/>
    <w:rsid w:val="00E303A9"/>
    <w:rsid w:val="00E3043D"/>
    <w:rsid w:val="00E30536"/>
    <w:rsid w:val="00E30628"/>
    <w:rsid w:val="00E31251"/>
    <w:rsid w:val="00E32231"/>
    <w:rsid w:val="00E324AD"/>
    <w:rsid w:val="00E32623"/>
    <w:rsid w:val="00E32F9A"/>
    <w:rsid w:val="00E33224"/>
    <w:rsid w:val="00E333FB"/>
    <w:rsid w:val="00E3342D"/>
    <w:rsid w:val="00E33683"/>
    <w:rsid w:val="00E33734"/>
    <w:rsid w:val="00E33C47"/>
    <w:rsid w:val="00E33C7F"/>
    <w:rsid w:val="00E33EE3"/>
    <w:rsid w:val="00E3439E"/>
    <w:rsid w:val="00E3440F"/>
    <w:rsid w:val="00E34628"/>
    <w:rsid w:val="00E347F0"/>
    <w:rsid w:val="00E35085"/>
    <w:rsid w:val="00E35094"/>
    <w:rsid w:val="00E35693"/>
    <w:rsid w:val="00E36CFA"/>
    <w:rsid w:val="00E36EB2"/>
    <w:rsid w:val="00E36F56"/>
    <w:rsid w:val="00E377A0"/>
    <w:rsid w:val="00E4049A"/>
    <w:rsid w:val="00E4060A"/>
    <w:rsid w:val="00E4083B"/>
    <w:rsid w:val="00E40AEB"/>
    <w:rsid w:val="00E40F9D"/>
    <w:rsid w:val="00E4122C"/>
    <w:rsid w:val="00E417D0"/>
    <w:rsid w:val="00E41A62"/>
    <w:rsid w:val="00E422C4"/>
    <w:rsid w:val="00E425B3"/>
    <w:rsid w:val="00E42EC2"/>
    <w:rsid w:val="00E43330"/>
    <w:rsid w:val="00E4341C"/>
    <w:rsid w:val="00E439F8"/>
    <w:rsid w:val="00E43ABB"/>
    <w:rsid w:val="00E43AD8"/>
    <w:rsid w:val="00E43DC4"/>
    <w:rsid w:val="00E43DF0"/>
    <w:rsid w:val="00E44185"/>
    <w:rsid w:val="00E4431C"/>
    <w:rsid w:val="00E44CD4"/>
    <w:rsid w:val="00E455AB"/>
    <w:rsid w:val="00E45B91"/>
    <w:rsid w:val="00E45F20"/>
    <w:rsid w:val="00E460B5"/>
    <w:rsid w:val="00E46B50"/>
    <w:rsid w:val="00E46B92"/>
    <w:rsid w:val="00E46C57"/>
    <w:rsid w:val="00E46D9B"/>
    <w:rsid w:val="00E47200"/>
    <w:rsid w:val="00E47385"/>
    <w:rsid w:val="00E47A41"/>
    <w:rsid w:val="00E50533"/>
    <w:rsid w:val="00E508F6"/>
    <w:rsid w:val="00E50D34"/>
    <w:rsid w:val="00E50F7B"/>
    <w:rsid w:val="00E5176B"/>
    <w:rsid w:val="00E51B5D"/>
    <w:rsid w:val="00E5223D"/>
    <w:rsid w:val="00E528BA"/>
    <w:rsid w:val="00E53A72"/>
    <w:rsid w:val="00E53CAB"/>
    <w:rsid w:val="00E54401"/>
    <w:rsid w:val="00E54747"/>
    <w:rsid w:val="00E55339"/>
    <w:rsid w:val="00E55538"/>
    <w:rsid w:val="00E55ADF"/>
    <w:rsid w:val="00E565C2"/>
    <w:rsid w:val="00E56E95"/>
    <w:rsid w:val="00E56ECC"/>
    <w:rsid w:val="00E5731F"/>
    <w:rsid w:val="00E57F9B"/>
    <w:rsid w:val="00E60269"/>
    <w:rsid w:val="00E60586"/>
    <w:rsid w:val="00E605EA"/>
    <w:rsid w:val="00E6073C"/>
    <w:rsid w:val="00E60763"/>
    <w:rsid w:val="00E60C32"/>
    <w:rsid w:val="00E616A2"/>
    <w:rsid w:val="00E627F6"/>
    <w:rsid w:val="00E632C3"/>
    <w:rsid w:val="00E63E8A"/>
    <w:rsid w:val="00E63F1D"/>
    <w:rsid w:val="00E64089"/>
    <w:rsid w:val="00E646D5"/>
    <w:rsid w:val="00E64A75"/>
    <w:rsid w:val="00E64B1B"/>
    <w:rsid w:val="00E65779"/>
    <w:rsid w:val="00E65B3D"/>
    <w:rsid w:val="00E6602D"/>
    <w:rsid w:val="00E6603D"/>
    <w:rsid w:val="00E67336"/>
    <w:rsid w:val="00E67343"/>
    <w:rsid w:val="00E67E86"/>
    <w:rsid w:val="00E70752"/>
    <w:rsid w:val="00E709D8"/>
    <w:rsid w:val="00E7153E"/>
    <w:rsid w:val="00E71650"/>
    <w:rsid w:val="00E71752"/>
    <w:rsid w:val="00E71AFE"/>
    <w:rsid w:val="00E71C28"/>
    <w:rsid w:val="00E71F52"/>
    <w:rsid w:val="00E72A7F"/>
    <w:rsid w:val="00E72EC2"/>
    <w:rsid w:val="00E732AF"/>
    <w:rsid w:val="00E7372A"/>
    <w:rsid w:val="00E740F5"/>
    <w:rsid w:val="00E74455"/>
    <w:rsid w:val="00E744FC"/>
    <w:rsid w:val="00E74926"/>
    <w:rsid w:val="00E752A1"/>
    <w:rsid w:val="00E753AA"/>
    <w:rsid w:val="00E756EC"/>
    <w:rsid w:val="00E75875"/>
    <w:rsid w:val="00E75955"/>
    <w:rsid w:val="00E75A9D"/>
    <w:rsid w:val="00E75E7C"/>
    <w:rsid w:val="00E76466"/>
    <w:rsid w:val="00E76513"/>
    <w:rsid w:val="00E76670"/>
    <w:rsid w:val="00E76A32"/>
    <w:rsid w:val="00E76C5E"/>
    <w:rsid w:val="00E77925"/>
    <w:rsid w:val="00E77F49"/>
    <w:rsid w:val="00E803C3"/>
    <w:rsid w:val="00E80872"/>
    <w:rsid w:val="00E80EFB"/>
    <w:rsid w:val="00E81B8E"/>
    <w:rsid w:val="00E81EBF"/>
    <w:rsid w:val="00E81ED7"/>
    <w:rsid w:val="00E8219D"/>
    <w:rsid w:val="00E82EE4"/>
    <w:rsid w:val="00E83371"/>
    <w:rsid w:val="00E8377F"/>
    <w:rsid w:val="00E84955"/>
    <w:rsid w:val="00E8543E"/>
    <w:rsid w:val="00E855CE"/>
    <w:rsid w:val="00E8607A"/>
    <w:rsid w:val="00E87631"/>
    <w:rsid w:val="00E878BE"/>
    <w:rsid w:val="00E87B69"/>
    <w:rsid w:val="00E87D52"/>
    <w:rsid w:val="00E87F00"/>
    <w:rsid w:val="00E87F4D"/>
    <w:rsid w:val="00E90555"/>
    <w:rsid w:val="00E907BE"/>
    <w:rsid w:val="00E90F1F"/>
    <w:rsid w:val="00E90FC1"/>
    <w:rsid w:val="00E91504"/>
    <w:rsid w:val="00E91685"/>
    <w:rsid w:val="00E916A9"/>
    <w:rsid w:val="00E91942"/>
    <w:rsid w:val="00E9222C"/>
    <w:rsid w:val="00E9229E"/>
    <w:rsid w:val="00E92D36"/>
    <w:rsid w:val="00E933EB"/>
    <w:rsid w:val="00E93B01"/>
    <w:rsid w:val="00E9439E"/>
    <w:rsid w:val="00E9522B"/>
    <w:rsid w:val="00E9558B"/>
    <w:rsid w:val="00E95D1B"/>
    <w:rsid w:val="00E9623E"/>
    <w:rsid w:val="00E9649D"/>
    <w:rsid w:val="00E969F0"/>
    <w:rsid w:val="00E96A2C"/>
    <w:rsid w:val="00EA009F"/>
    <w:rsid w:val="00EA09FE"/>
    <w:rsid w:val="00EA17C0"/>
    <w:rsid w:val="00EA2523"/>
    <w:rsid w:val="00EA2EFA"/>
    <w:rsid w:val="00EA32BF"/>
    <w:rsid w:val="00EA3693"/>
    <w:rsid w:val="00EA50D6"/>
    <w:rsid w:val="00EA52B0"/>
    <w:rsid w:val="00EA5714"/>
    <w:rsid w:val="00EA5E1D"/>
    <w:rsid w:val="00EA7662"/>
    <w:rsid w:val="00EB016F"/>
    <w:rsid w:val="00EB0635"/>
    <w:rsid w:val="00EB06EB"/>
    <w:rsid w:val="00EB0798"/>
    <w:rsid w:val="00EB0B50"/>
    <w:rsid w:val="00EB222C"/>
    <w:rsid w:val="00EB2534"/>
    <w:rsid w:val="00EB2A74"/>
    <w:rsid w:val="00EB33F4"/>
    <w:rsid w:val="00EB3B9C"/>
    <w:rsid w:val="00EB3C8F"/>
    <w:rsid w:val="00EB4242"/>
    <w:rsid w:val="00EB44AE"/>
    <w:rsid w:val="00EB4C04"/>
    <w:rsid w:val="00EB4CA7"/>
    <w:rsid w:val="00EB5E24"/>
    <w:rsid w:val="00EB5E87"/>
    <w:rsid w:val="00EB649D"/>
    <w:rsid w:val="00EB6754"/>
    <w:rsid w:val="00EB7714"/>
    <w:rsid w:val="00EB7A49"/>
    <w:rsid w:val="00EB7A4F"/>
    <w:rsid w:val="00EB7C4B"/>
    <w:rsid w:val="00EB7FC4"/>
    <w:rsid w:val="00EC035A"/>
    <w:rsid w:val="00EC0BAD"/>
    <w:rsid w:val="00EC1320"/>
    <w:rsid w:val="00EC1406"/>
    <w:rsid w:val="00EC225B"/>
    <w:rsid w:val="00EC2677"/>
    <w:rsid w:val="00EC2DAB"/>
    <w:rsid w:val="00EC36F2"/>
    <w:rsid w:val="00EC40B3"/>
    <w:rsid w:val="00EC440F"/>
    <w:rsid w:val="00EC476F"/>
    <w:rsid w:val="00EC48D7"/>
    <w:rsid w:val="00EC4B7C"/>
    <w:rsid w:val="00EC4BB6"/>
    <w:rsid w:val="00EC4F33"/>
    <w:rsid w:val="00EC68F4"/>
    <w:rsid w:val="00EC7129"/>
    <w:rsid w:val="00EC779C"/>
    <w:rsid w:val="00ED07A3"/>
    <w:rsid w:val="00ED11C5"/>
    <w:rsid w:val="00ED1924"/>
    <w:rsid w:val="00ED1E35"/>
    <w:rsid w:val="00ED2884"/>
    <w:rsid w:val="00ED2C8F"/>
    <w:rsid w:val="00ED2D4A"/>
    <w:rsid w:val="00ED2DB6"/>
    <w:rsid w:val="00ED304F"/>
    <w:rsid w:val="00ED47C8"/>
    <w:rsid w:val="00ED4BF7"/>
    <w:rsid w:val="00ED4FB2"/>
    <w:rsid w:val="00ED507D"/>
    <w:rsid w:val="00ED5A35"/>
    <w:rsid w:val="00ED666B"/>
    <w:rsid w:val="00ED6F17"/>
    <w:rsid w:val="00ED73C5"/>
    <w:rsid w:val="00ED76F1"/>
    <w:rsid w:val="00ED7BC1"/>
    <w:rsid w:val="00ED7D18"/>
    <w:rsid w:val="00ED7FFE"/>
    <w:rsid w:val="00EE24DB"/>
    <w:rsid w:val="00EE24FB"/>
    <w:rsid w:val="00EE286B"/>
    <w:rsid w:val="00EE2D3F"/>
    <w:rsid w:val="00EE3270"/>
    <w:rsid w:val="00EE3367"/>
    <w:rsid w:val="00EE3730"/>
    <w:rsid w:val="00EE3DA2"/>
    <w:rsid w:val="00EE43C0"/>
    <w:rsid w:val="00EE4452"/>
    <w:rsid w:val="00EE4C7E"/>
    <w:rsid w:val="00EE5006"/>
    <w:rsid w:val="00EE5181"/>
    <w:rsid w:val="00EE51DB"/>
    <w:rsid w:val="00EE556D"/>
    <w:rsid w:val="00EE5713"/>
    <w:rsid w:val="00EE5DBE"/>
    <w:rsid w:val="00EE6128"/>
    <w:rsid w:val="00EE6184"/>
    <w:rsid w:val="00EE658A"/>
    <w:rsid w:val="00EE7607"/>
    <w:rsid w:val="00EE7A2C"/>
    <w:rsid w:val="00EE7BEB"/>
    <w:rsid w:val="00EF0209"/>
    <w:rsid w:val="00EF0F3B"/>
    <w:rsid w:val="00EF1A43"/>
    <w:rsid w:val="00EF1C88"/>
    <w:rsid w:val="00EF20F2"/>
    <w:rsid w:val="00EF2141"/>
    <w:rsid w:val="00EF2240"/>
    <w:rsid w:val="00EF3069"/>
    <w:rsid w:val="00EF30C3"/>
    <w:rsid w:val="00EF3482"/>
    <w:rsid w:val="00EF389A"/>
    <w:rsid w:val="00EF3A6B"/>
    <w:rsid w:val="00EF3DE5"/>
    <w:rsid w:val="00EF4473"/>
    <w:rsid w:val="00EF4707"/>
    <w:rsid w:val="00EF470B"/>
    <w:rsid w:val="00EF4BC0"/>
    <w:rsid w:val="00EF4C4E"/>
    <w:rsid w:val="00EF51B0"/>
    <w:rsid w:val="00EF57A5"/>
    <w:rsid w:val="00EF5811"/>
    <w:rsid w:val="00EF5987"/>
    <w:rsid w:val="00EF5A8E"/>
    <w:rsid w:val="00EF6556"/>
    <w:rsid w:val="00EF6F14"/>
    <w:rsid w:val="00F012A8"/>
    <w:rsid w:val="00F01733"/>
    <w:rsid w:val="00F01CA0"/>
    <w:rsid w:val="00F020BB"/>
    <w:rsid w:val="00F0319D"/>
    <w:rsid w:val="00F0385E"/>
    <w:rsid w:val="00F04E2E"/>
    <w:rsid w:val="00F05AA6"/>
    <w:rsid w:val="00F05C43"/>
    <w:rsid w:val="00F066C8"/>
    <w:rsid w:val="00F06C0B"/>
    <w:rsid w:val="00F07089"/>
    <w:rsid w:val="00F07BE2"/>
    <w:rsid w:val="00F07F28"/>
    <w:rsid w:val="00F10548"/>
    <w:rsid w:val="00F105A7"/>
    <w:rsid w:val="00F106F3"/>
    <w:rsid w:val="00F11001"/>
    <w:rsid w:val="00F12005"/>
    <w:rsid w:val="00F1232F"/>
    <w:rsid w:val="00F12994"/>
    <w:rsid w:val="00F12D86"/>
    <w:rsid w:val="00F12DF2"/>
    <w:rsid w:val="00F13058"/>
    <w:rsid w:val="00F134E3"/>
    <w:rsid w:val="00F13B05"/>
    <w:rsid w:val="00F13F47"/>
    <w:rsid w:val="00F142D6"/>
    <w:rsid w:val="00F14A46"/>
    <w:rsid w:val="00F15451"/>
    <w:rsid w:val="00F154D4"/>
    <w:rsid w:val="00F15553"/>
    <w:rsid w:val="00F15AF2"/>
    <w:rsid w:val="00F15D23"/>
    <w:rsid w:val="00F15F1E"/>
    <w:rsid w:val="00F1643F"/>
    <w:rsid w:val="00F16E49"/>
    <w:rsid w:val="00F177C6"/>
    <w:rsid w:val="00F178AB"/>
    <w:rsid w:val="00F2034E"/>
    <w:rsid w:val="00F20EA1"/>
    <w:rsid w:val="00F20F16"/>
    <w:rsid w:val="00F21290"/>
    <w:rsid w:val="00F21A4C"/>
    <w:rsid w:val="00F2214E"/>
    <w:rsid w:val="00F231A1"/>
    <w:rsid w:val="00F235C1"/>
    <w:rsid w:val="00F23DBA"/>
    <w:rsid w:val="00F23E5B"/>
    <w:rsid w:val="00F23F33"/>
    <w:rsid w:val="00F245E6"/>
    <w:rsid w:val="00F24A7D"/>
    <w:rsid w:val="00F24EE9"/>
    <w:rsid w:val="00F25334"/>
    <w:rsid w:val="00F254AF"/>
    <w:rsid w:val="00F25EC4"/>
    <w:rsid w:val="00F26092"/>
    <w:rsid w:val="00F26538"/>
    <w:rsid w:val="00F26808"/>
    <w:rsid w:val="00F268A4"/>
    <w:rsid w:val="00F26EE2"/>
    <w:rsid w:val="00F27AB2"/>
    <w:rsid w:val="00F307CC"/>
    <w:rsid w:val="00F30BBA"/>
    <w:rsid w:val="00F313CE"/>
    <w:rsid w:val="00F31584"/>
    <w:rsid w:val="00F31630"/>
    <w:rsid w:val="00F329CE"/>
    <w:rsid w:val="00F3322B"/>
    <w:rsid w:val="00F3467A"/>
    <w:rsid w:val="00F34A95"/>
    <w:rsid w:val="00F34C99"/>
    <w:rsid w:val="00F34F03"/>
    <w:rsid w:val="00F35CF9"/>
    <w:rsid w:val="00F36007"/>
    <w:rsid w:val="00F3623B"/>
    <w:rsid w:val="00F367AD"/>
    <w:rsid w:val="00F36FED"/>
    <w:rsid w:val="00F37072"/>
    <w:rsid w:val="00F4094B"/>
    <w:rsid w:val="00F40BB5"/>
    <w:rsid w:val="00F40CF9"/>
    <w:rsid w:val="00F40F5F"/>
    <w:rsid w:val="00F41AB6"/>
    <w:rsid w:val="00F421DD"/>
    <w:rsid w:val="00F4221B"/>
    <w:rsid w:val="00F4233C"/>
    <w:rsid w:val="00F428FA"/>
    <w:rsid w:val="00F439BB"/>
    <w:rsid w:val="00F43FCA"/>
    <w:rsid w:val="00F44640"/>
    <w:rsid w:val="00F449D7"/>
    <w:rsid w:val="00F44F7B"/>
    <w:rsid w:val="00F45443"/>
    <w:rsid w:val="00F455B8"/>
    <w:rsid w:val="00F457B5"/>
    <w:rsid w:val="00F45F5E"/>
    <w:rsid w:val="00F461AE"/>
    <w:rsid w:val="00F46B1C"/>
    <w:rsid w:val="00F46CA0"/>
    <w:rsid w:val="00F46D8C"/>
    <w:rsid w:val="00F46F7C"/>
    <w:rsid w:val="00F4708A"/>
    <w:rsid w:val="00F47D6C"/>
    <w:rsid w:val="00F51106"/>
    <w:rsid w:val="00F51A00"/>
    <w:rsid w:val="00F51B37"/>
    <w:rsid w:val="00F51B88"/>
    <w:rsid w:val="00F52A4C"/>
    <w:rsid w:val="00F534D3"/>
    <w:rsid w:val="00F534ED"/>
    <w:rsid w:val="00F53968"/>
    <w:rsid w:val="00F53BAF"/>
    <w:rsid w:val="00F5421D"/>
    <w:rsid w:val="00F54895"/>
    <w:rsid w:val="00F55A8B"/>
    <w:rsid w:val="00F562BE"/>
    <w:rsid w:val="00F567A9"/>
    <w:rsid w:val="00F570FA"/>
    <w:rsid w:val="00F60458"/>
    <w:rsid w:val="00F60DF3"/>
    <w:rsid w:val="00F61026"/>
    <w:rsid w:val="00F613D5"/>
    <w:rsid w:val="00F61567"/>
    <w:rsid w:val="00F61A2E"/>
    <w:rsid w:val="00F62057"/>
    <w:rsid w:val="00F62582"/>
    <w:rsid w:val="00F638C6"/>
    <w:rsid w:val="00F63C51"/>
    <w:rsid w:val="00F64DC6"/>
    <w:rsid w:val="00F64F14"/>
    <w:rsid w:val="00F658CB"/>
    <w:rsid w:val="00F65BCB"/>
    <w:rsid w:val="00F66623"/>
    <w:rsid w:val="00F66D31"/>
    <w:rsid w:val="00F67567"/>
    <w:rsid w:val="00F676A7"/>
    <w:rsid w:val="00F67C01"/>
    <w:rsid w:val="00F67C2B"/>
    <w:rsid w:val="00F70B77"/>
    <w:rsid w:val="00F7114B"/>
    <w:rsid w:val="00F71E7A"/>
    <w:rsid w:val="00F721EF"/>
    <w:rsid w:val="00F72203"/>
    <w:rsid w:val="00F72301"/>
    <w:rsid w:val="00F72599"/>
    <w:rsid w:val="00F72AC2"/>
    <w:rsid w:val="00F72BF8"/>
    <w:rsid w:val="00F74168"/>
    <w:rsid w:val="00F742F1"/>
    <w:rsid w:val="00F747FA"/>
    <w:rsid w:val="00F74871"/>
    <w:rsid w:val="00F756F9"/>
    <w:rsid w:val="00F76037"/>
    <w:rsid w:val="00F77724"/>
    <w:rsid w:val="00F7772A"/>
    <w:rsid w:val="00F77839"/>
    <w:rsid w:val="00F77995"/>
    <w:rsid w:val="00F77AB9"/>
    <w:rsid w:val="00F8097D"/>
    <w:rsid w:val="00F8117D"/>
    <w:rsid w:val="00F811B9"/>
    <w:rsid w:val="00F815CC"/>
    <w:rsid w:val="00F818AC"/>
    <w:rsid w:val="00F81A57"/>
    <w:rsid w:val="00F8246A"/>
    <w:rsid w:val="00F8285E"/>
    <w:rsid w:val="00F83ED9"/>
    <w:rsid w:val="00F856ED"/>
    <w:rsid w:val="00F8574D"/>
    <w:rsid w:val="00F85DEC"/>
    <w:rsid w:val="00F85EDA"/>
    <w:rsid w:val="00F8615F"/>
    <w:rsid w:val="00F8629B"/>
    <w:rsid w:val="00F86D4E"/>
    <w:rsid w:val="00F86E6F"/>
    <w:rsid w:val="00F87BEF"/>
    <w:rsid w:val="00F90296"/>
    <w:rsid w:val="00F902F3"/>
    <w:rsid w:val="00F90C13"/>
    <w:rsid w:val="00F90DD7"/>
    <w:rsid w:val="00F91164"/>
    <w:rsid w:val="00F91524"/>
    <w:rsid w:val="00F9270B"/>
    <w:rsid w:val="00F92AB1"/>
    <w:rsid w:val="00F92B0F"/>
    <w:rsid w:val="00F92F53"/>
    <w:rsid w:val="00F93043"/>
    <w:rsid w:val="00F93D6C"/>
    <w:rsid w:val="00F93F86"/>
    <w:rsid w:val="00F93FCF"/>
    <w:rsid w:val="00F94068"/>
    <w:rsid w:val="00F9438E"/>
    <w:rsid w:val="00F9489A"/>
    <w:rsid w:val="00F95284"/>
    <w:rsid w:val="00F9536B"/>
    <w:rsid w:val="00F963DB"/>
    <w:rsid w:val="00F9684A"/>
    <w:rsid w:val="00F96A71"/>
    <w:rsid w:val="00F96ACA"/>
    <w:rsid w:val="00F96D24"/>
    <w:rsid w:val="00F97BFD"/>
    <w:rsid w:val="00FA02C5"/>
    <w:rsid w:val="00FA1AEC"/>
    <w:rsid w:val="00FA1E97"/>
    <w:rsid w:val="00FA26E3"/>
    <w:rsid w:val="00FA2C69"/>
    <w:rsid w:val="00FA3465"/>
    <w:rsid w:val="00FA44FB"/>
    <w:rsid w:val="00FA52E3"/>
    <w:rsid w:val="00FA5580"/>
    <w:rsid w:val="00FA5BFC"/>
    <w:rsid w:val="00FA5F42"/>
    <w:rsid w:val="00FA620B"/>
    <w:rsid w:val="00FA6361"/>
    <w:rsid w:val="00FA69C3"/>
    <w:rsid w:val="00FA69E4"/>
    <w:rsid w:val="00FA6AAC"/>
    <w:rsid w:val="00FA6CBC"/>
    <w:rsid w:val="00FA6D48"/>
    <w:rsid w:val="00FA7D6A"/>
    <w:rsid w:val="00FA7EC0"/>
    <w:rsid w:val="00FB0BB2"/>
    <w:rsid w:val="00FB1582"/>
    <w:rsid w:val="00FB16C0"/>
    <w:rsid w:val="00FB1938"/>
    <w:rsid w:val="00FB2648"/>
    <w:rsid w:val="00FB349A"/>
    <w:rsid w:val="00FB38BE"/>
    <w:rsid w:val="00FB3E1A"/>
    <w:rsid w:val="00FB4B50"/>
    <w:rsid w:val="00FB4E5B"/>
    <w:rsid w:val="00FB5808"/>
    <w:rsid w:val="00FB5BD6"/>
    <w:rsid w:val="00FB6ACC"/>
    <w:rsid w:val="00FB6DFE"/>
    <w:rsid w:val="00FB7E3B"/>
    <w:rsid w:val="00FC072E"/>
    <w:rsid w:val="00FC0921"/>
    <w:rsid w:val="00FC11A9"/>
    <w:rsid w:val="00FC1C6F"/>
    <w:rsid w:val="00FC1DAE"/>
    <w:rsid w:val="00FC266E"/>
    <w:rsid w:val="00FC2DC6"/>
    <w:rsid w:val="00FC30E2"/>
    <w:rsid w:val="00FC31EF"/>
    <w:rsid w:val="00FC3A30"/>
    <w:rsid w:val="00FC3B2B"/>
    <w:rsid w:val="00FC3E24"/>
    <w:rsid w:val="00FC5249"/>
    <w:rsid w:val="00FC551E"/>
    <w:rsid w:val="00FC5790"/>
    <w:rsid w:val="00FC5D6A"/>
    <w:rsid w:val="00FC656F"/>
    <w:rsid w:val="00FC6969"/>
    <w:rsid w:val="00FC6A12"/>
    <w:rsid w:val="00FC6D98"/>
    <w:rsid w:val="00FC6DD7"/>
    <w:rsid w:val="00FC759D"/>
    <w:rsid w:val="00FC7CE7"/>
    <w:rsid w:val="00FD039F"/>
    <w:rsid w:val="00FD1153"/>
    <w:rsid w:val="00FD13D5"/>
    <w:rsid w:val="00FD1995"/>
    <w:rsid w:val="00FD25E1"/>
    <w:rsid w:val="00FD2716"/>
    <w:rsid w:val="00FD29EE"/>
    <w:rsid w:val="00FD32CB"/>
    <w:rsid w:val="00FD3C86"/>
    <w:rsid w:val="00FD3CAB"/>
    <w:rsid w:val="00FD40FF"/>
    <w:rsid w:val="00FD5475"/>
    <w:rsid w:val="00FD56F2"/>
    <w:rsid w:val="00FD5E1C"/>
    <w:rsid w:val="00FD62EB"/>
    <w:rsid w:val="00FD6327"/>
    <w:rsid w:val="00FD63DF"/>
    <w:rsid w:val="00FD7339"/>
    <w:rsid w:val="00FD7945"/>
    <w:rsid w:val="00FE02C1"/>
    <w:rsid w:val="00FE0B54"/>
    <w:rsid w:val="00FE0B5C"/>
    <w:rsid w:val="00FE1880"/>
    <w:rsid w:val="00FE1B0B"/>
    <w:rsid w:val="00FE1EB0"/>
    <w:rsid w:val="00FE2075"/>
    <w:rsid w:val="00FE225A"/>
    <w:rsid w:val="00FE23B0"/>
    <w:rsid w:val="00FE23C1"/>
    <w:rsid w:val="00FE3963"/>
    <w:rsid w:val="00FE3F8E"/>
    <w:rsid w:val="00FE47ED"/>
    <w:rsid w:val="00FE4AAD"/>
    <w:rsid w:val="00FE5330"/>
    <w:rsid w:val="00FE61DC"/>
    <w:rsid w:val="00FE67D0"/>
    <w:rsid w:val="00FE6D54"/>
    <w:rsid w:val="00FE7B01"/>
    <w:rsid w:val="00FE7D26"/>
    <w:rsid w:val="00FF00BF"/>
    <w:rsid w:val="00FF081E"/>
    <w:rsid w:val="00FF09FE"/>
    <w:rsid w:val="00FF1187"/>
    <w:rsid w:val="00FF145C"/>
    <w:rsid w:val="00FF1BBA"/>
    <w:rsid w:val="00FF2151"/>
    <w:rsid w:val="00FF2318"/>
    <w:rsid w:val="00FF26EE"/>
    <w:rsid w:val="00FF2E59"/>
    <w:rsid w:val="00FF2EC1"/>
    <w:rsid w:val="00FF3102"/>
    <w:rsid w:val="00FF3329"/>
    <w:rsid w:val="00FF3F22"/>
    <w:rsid w:val="00FF41D8"/>
    <w:rsid w:val="00FF47A3"/>
    <w:rsid w:val="00FF4D23"/>
    <w:rsid w:val="00FF602B"/>
    <w:rsid w:val="00FF6353"/>
    <w:rsid w:val="00FF704A"/>
    <w:rsid w:val="00FF7877"/>
    <w:rsid w:val="03E2429A"/>
    <w:rsid w:val="0E524E2E"/>
    <w:rsid w:val="1BEC044D"/>
    <w:rsid w:val="296C52BA"/>
    <w:rsid w:val="2BC9595B"/>
    <w:rsid w:val="2F2117B6"/>
    <w:rsid w:val="30F67F61"/>
    <w:rsid w:val="3C2E31F3"/>
    <w:rsid w:val="46CE32F7"/>
    <w:rsid w:val="47C553EA"/>
    <w:rsid w:val="497616AC"/>
    <w:rsid w:val="4BEA77C7"/>
    <w:rsid w:val="5CD13877"/>
    <w:rsid w:val="5FC46F83"/>
    <w:rsid w:val="60657786"/>
    <w:rsid w:val="645D5154"/>
    <w:rsid w:val="686D521E"/>
    <w:rsid w:val="692534B8"/>
    <w:rsid w:val="6D071F44"/>
    <w:rsid w:val="720D3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qFormat="1" w:unhideWhenUsed="0" w:uiPriority="0" w:semiHidden="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hd w:val="clear" w:color="auto" w:fill="FFFFFF"/>
      <w:tabs>
        <w:tab w:val="left" w:pos="426"/>
      </w:tabs>
      <w:adjustRightInd w:val="0"/>
      <w:snapToGrid w:val="0"/>
      <w:spacing w:line="360" w:lineRule="auto"/>
      <w:jc w:val="both"/>
    </w:pPr>
    <w:rPr>
      <w:rFonts w:ascii="宋体" w:hAnsi="宋体" w:eastAsia="宋体" w:cs="宋体"/>
      <w:sz w:val="21"/>
      <w:szCs w:val="24"/>
      <w:lang w:val="en-US" w:eastAsia="zh-CN" w:bidi="ar-SA"/>
    </w:rPr>
  </w:style>
  <w:style w:type="paragraph" w:styleId="3">
    <w:name w:val="heading 1"/>
    <w:basedOn w:val="4"/>
    <w:next w:val="1"/>
    <w:link w:val="57"/>
    <w:qFormat/>
    <w:uiPriority w:val="0"/>
    <w:pPr>
      <w:keepNext w:val="0"/>
      <w:keepLines w:val="0"/>
      <w:tabs>
        <w:tab w:val="left" w:pos="426"/>
      </w:tabs>
      <w:spacing w:before="340" w:after="330" w:line="300" w:lineRule="auto"/>
      <w:jc w:val="center"/>
      <w:outlineLvl w:val="0"/>
    </w:pPr>
    <w:rPr>
      <w:rFonts w:eastAsia="黑体"/>
      <w:kern w:val="44"/>
      <w:sz w:val="28"/>
      <w:szCs w:val="28"/>
    </w:rPr>
  </w:style>
  <w:style w:type="paragraph" w:styleId="6">
    <w:name w:val="heading 2"/>
    <w:basedOn w:val="4"/>
    <w:next w:val="5"/>
    <w:qFormat/>
    <w:uiPriority w:val="0"/>
    <w:pPr>
      <w:tabs>
        <w:tab w:val="left" w:pos="426"/>
      </w:tabs>
      <w:textAlignment w:val="baseline"/>
      <w:outlineLvl w:val="1"/>
    </w:pPr>
    <w:rPr>
      <w:bCs w:val="0"/>
      <w:kern w:val="0"/>
      <w:szCs w:val="20"/>
    </w:rPr>
  </w:style>
  <w:style w:type="paragraph" w:styleId="4">
    <w:name w:val="heading 3"/>
    <w:basedOn w:val="5"/>
    <w:next w:val="1"/>
    <w:link w:val="56"/>
    <w:qFormat/>
    <w:uiPriority w:val="0"/>
    <w:pPr>
      <w:tabs>
        <w:tab w:val="left" w:pos="426"/>
      </w:tabs>
      <w:spacing w:before="260" w:after="260" w:line="240" w:lineRule="auto"/>
      <w:outlineLvl w:val="2"/>
    </w:pPr>
    <w:rPr>
      <w:rFonts w:ascii="宋体" w:hAnsi="宋体" w:eastAsia="宋体"/>
      <w:sz w:val="24"/>
      <w:szCs w:val="32"/>
    </w:rPr>
  </w:style>
  <w:style w:type="paragraph" w:styleId="5">
    <w:name w:val="heading 4"/>
    <w:basedOn w:val="1"/>
    <w:next w:val="1"/>
    <w:link w:val="54"/>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7">
    <w:name w:val="heading 5"/>
    <w:basedOn w:val="1"/>
    <w:next w:val="8"/>
    <w:link w:val="118"/>
    <w:qFormat/>
    <w:uiPriority w:val="0"/>
    <w:pPr>
      <w:keepNext/>
      <w:keepLines/>
      <w:spacing w:before="280" w:after="290" w:line="376" w:lineRule="auto"/>
      <w:jc w:val="center"/>
      <w:outlineLvl w:val="4"/>
    </w:pPr>
    <w:rPr>
      <w:rFonts w:ascii="Times New Roman" w:hAnsi="Times New Roman" w:cs="Times New Roman"/>
      <w:b/>
      <w:kern w:val="2"/>
      <w:sz w:val="24"/>
      <w:szCs w:val="20"/>
    </w:rPr>
  </w:style>
  <w:style w:type="paragraph" w:styleId="9">
    <w:name w:val="heading 6"/>
    <w:basedOn w:val="1"/>
    <w:next w:val="8"/>
    <w:link w:val="119"/>
    <w:qFormat/>
    <w:uiPriority w:val="0"/>
    <w:pPr>
      <w:keepNext/>
      <w:keepLines/>
      <w:spacing w:before="240" w:after="64" w:line="320" w:lineRule="auto"/>
      <w:outlineLvl w:val="5"/>
    </w:pPr>
    <w:rPr>
      <w:rFonts w:ascii="Arial" w:hAnsi="Arial" w:eastAsia="黑体" w:cs="Times New Roman"/>
      <w:b/>
      <w:kern w:val="2"/>
      <w:sz w:val="24"/>
      <w:szCs w:val="20"/>
    </w:rPr>
  </w:style>
  <w:style w:type="paragraph" w:styleId="10">
    <w:name w:val="heading 7"/>
    <w:basedOn w:val="1"/>
    <w:next w:val="8"/>
    <w:link w:val="120"/>
    <w:qFormat/>
    <w:uiPriority w:val="0"/>
    <w:pPr>
      <w:keepNext/>
      <w:keepLines/>
      <w:spacing w:before="240" w:after="64" w:line="320" w:lineRule="auto"/>
      <w:outlineLvl w:val="6"/>
    </w:pPr>
    <w:rPr>
      <w:rFonts w:ascii="Times New Roman" w:hAnsi="Times New Roman" w:cs="Times New Roman"/>
      <w:b/>
      <w:kern w:val="2"/>
      <w:sz w:val="24"/>
      <w:szCs w:val="20"/>
    </w:rPr>
  </w:style>
  <w:style w:type="paragraph" w:styleId="11">
    <w:name w:val="heading 8"/>
    <w:basedOn w:val="1"/>
    <w:next w:val="8"/>
    <w:link w:val="121"/>
    <w:qFormat/>
    <w:uiPriority w:val="0"/>
    <w:pPr>
      <w:keepNext/>
      <w:keepLines/>
      <w:spacing w:before="240" w:after="64" w:line="320" w:lineRule="auto"/>
      <w:outlineLvl w:val="7"/>
    </w:pPr>
    <w:rPr>
      <w:rFonts w:ascii="Arial" w:hAnsi="Arial" w:eastAsia="黑体" w:cs="Times New Roman"/>
      <w:kern w:val="2"/>
      <w:sz w:val="24"/>
      <w:szCs w:val="20"/>
    </w:rPr>
  </w:style>
  <w:style w:type="paragraph" w:styleId="12">
    <w:name w:val="heading 9"/>
    <w:basedOn w:val="1"/>
    <w:next w:val="8"/>
    <w:link w:val="122"/>
    <w:qFormat/>
    <w:uiPriority w:val="0"/>
    <w:pPr>
      <w:keepNext/>
      <w:keepLines/>
      <w:spacing w:before="240" w:after="64" w:line="320" w:lineRule="auto"/>
      <w:outlineLvl w:val="8"/>
    </w:pPr>
    <w:rPr>
      <w:rFonts w:ascii="Arial" w:hAnsi="Arial" w:eastAsia="黑体" w:cs="Times New Roman"/>
      <w:kern w:val="2"/>
      <w:szCs w:val="20"/>
    </w:rPr>
  </w:style>
  <w:style w:type="character" w:default="1" w:styleId="47">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rPr>
      <w:b/>
      <w:bCs/>
      <w:sz w:val="24"/>
    </w:rPr>
  </w:style>
  <w:style w:type="paragraph" w:styleId="8">
    <w:name w:val="Normal Indent"/>
    <w:basedOn w:val="1"/>
    <w:link w:val="58"/>
    <w:qFormat/>
    <w:uiPriority w:val="0"/>
    <w:pPr>
      <w:ind w:firstLine="420"/>
    </w:pPr>
    <w:rPr>
      <w:rFonts w:ascii="Times New Roman" w:hAnsi="Times New Roman" w:cs="Times New Roman"/>
      <w:kern w:val="2"/>
      <w:szCs w:val="20"/>
    </w:r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numPr>
        <w:ilvl w:val="0"/>
        <w:numId w:val="1"/>
      </w:numPr>
      <w:tabs>
        <w:tab w:val="left" w:pos="820"/>
      </w:tabs>
      <w:spacing w:afterLines="50"/>
    </w:pPr>
    <w:rPr>
      <w:sz w:val="24"/>
      <w:szCs w:val="20"/>
    </w:rPr>
  </w:style>
  <w:style w:type="paragraph" w:styleId="15">
    <w:name w:val="caption"/>
    <w:basedOn w:val="1"/>
    <w:next w:val="1"/>
    <w:qFormat/>
    <w:uiPriority w:val="0"/>
    <w:rPr>
      <w:rFonts w:ascii="Arial" w:hAnsi="Arial" w:eastAsia="黑体" w:cs="Arial"/>
      <w:sz w:val="20"/>
      <w:szCs w:val="20"/>
    </w:rPr>
  </w:style>
  <w:style w:type="paragraph" w:styleId="16">
    <w:name w:val="List Bullet"/>
    <w:basedOn w:val="1"/>
    <w:qFormat/>
    <w:uiPriority w:val="0"/>
    <w:pPr>
      <w:tabs>
        <w:tab w:val="left" w:pos="360"/>
      </w:tabs>
      <w:ind w:left="360" w:hanging="360" w:hangingChars="200"/>
    </w:pPr>
    <w:rPr>
      <w:szCs w:val="20"/>
    </w:rPr>
  </w:style>
  <w:style w:type="paragraph" w:styleId="17">
    <w:name w:val="Document Map"/>
    <w:basedOn w:val="1"/>
    <w:link w:val="111"/>
    <w:semiHidden/>
    <w:qFormat/>
    <w:uiPriority w:val="0"/>
    <w:pPr>
      <w:shd w:val="clear" w:color="auto" w:fill="000080"/>
    </w:pPr>
    <w:rPr>
      <w:rFonts w:ascii="Times New Roman" w:hAnsi="Times New Roman" w:cs="Times New Roman"/>
      <w:kern w:val="2"/>
    </w:rPr>
  </w:style>
  <w:style w:type="paragraph" w:styleId="18">
    <w:name w:val="toa heading"/>
    <w:basedOn w:val="1"/>
    <w:next w:val="1"/>
    <w:qFormat/>
    <w:uiPriority w:val="0"/>
    <w:pPr>
      <w:spacing w:before="120"/>
    </w:pPr>
    <w:rPr>
      <w:rFonts w:ascii="Arial" w:hAnsi="Arial"/>
      <w:sz w:val="24"/>
      <w:szCs w:val="20"/>
    </w:rPr>
  </w:style>
  <w:style w:type="paragraph" w:styleId="19">
    <w:name w:val="annotation text"/>
    <w:basedOn w:val="1"/>
    <w:link w:val="72"/>
    <w:qFormat/>
    <w:uiPriority w:val="0"/>
    <w:pPr>
      <w:autoSpaceDE w:val="0"/>
      <w:autoSpaceDN w:val="0"/>
      <w:jc w:val="left"/>
      <w:textAlignment w:val="baseline"/>
    </w:pPr>
    <w:rPr>
      <w:rFonts w:hAnsi="Times New Roman" w:cs="Times New Roman"/>
      <w:sz w:val="34"/>
      <w:szCs w:val="20"/>
    </w:rPr>
  </w:style>
  <w:style w:type="paragraph" w:styleId="20">
    <w:name w:val="Body Text 3"/>
    <w:basedOn w:val="1"/>
    <w:link w:val="274"/>
    <w:qFormat/>
    <w:uiPriority w:val="0"/>
    <w:pPr>
      <w:spacing w:after="120"/>
    </w:pPr>
    <w:rPr>
      <w:rFonts w:ascii="Times New Roman" w:hAnsi="Times New Roman" w:cs="Times New Roman"/>
      <w:kern w:val="2"/>
      <w:sz w:val="16"/>
      <w:szCs w:val="16"/>
    </w:rPr>
  </w:style>
  <w:style w:type="paragraph" w:styleId="21">
    <w:name w:val="Body Text Indent"/>
    <w:basedOn w:val="1"/>
    <w:link w:val="214"/>
    <w:qFormat/>
    <w:uiPriority w:val="0"/>
    <w:pPr>
      <w:ind w:firstLine="420" w:firstLineChars="200"/>
    </w:pPr>
    <w:rPr>
      <w:rFonts w:ascii="Times New Roman" w:hAnsi="Times New Roman" w:cs="Times New Roman"/>
      <w:kern w:val="2"/>
    </w:rPr>
  </w:style>
  <w:style w:type="paragraph" w:styleId="22">
    <w:name w:val="toc 5"/>
    <w:basedOn w:val="1"/>
    <w:next w:val="1"/>
    <w:qFormat/>
    <w:uiPriority w:val="0"/>
    <w:pPr>
      <w:ind w:left="840"/>
      <w:jc w:val="left"/>
    </w:pPr>
    <w:rPr>
      <w:szCs w:val="21"/>
    </w:rPr>
  </w:style>
  <w:style w:type="paragraph" w:styleId="23">
    <w:name w:val="toc 3"/>
    <w:basedOn w:val="1"/>
    <w:next w:val="1"/>
    <w:qFormat/>
    <w:uiPriority w:val="39"/>
    <w:pPr>
      <w:ind w:left="420"/>
      <w:jc w:val="left"/>
    </w:pPr>
    <w:rPr>
      <w:i/>
      <w:iCs/>
    </w:rPr>
  </w:style>
  <w:style w:type="paragraph" w:styleId="24">
    <w:name w:val="Plain Text"/>
    <w:basedOn w:val="1"/>
    <w:link w:val="73"/>
    <w:qFormat/>
    <w:uiPriority w:val="0"/>
    <w:rPr>
      <w:rFonts w:hAnsi="Courier New" w:cs="Times New Roman"/>
      <w:kern w:val="2"/>
      <w:szCs w:val="20"/>
    </w:rPr>
  </w:style>
  <w:style w:type="paragraph" w:styleId="25">
    <w:name w:val="toc 8"/>
    <w:basedOn w:val="1"/>
    <w:next w:val="1"/>
    <w:qFormat/>
    <w:uiPriority w:val="0"/>
    <w:pPr>
      <w:ind w:left="1470"/>
      <w:jc w:val="left"/>
    </w:pPr>
    <w:rPr>
      <w:szCs w:val="21"/>
    </w:rPr>
  </w:style>
  <w:style w:type="paragraph" w:styleId="26">
    <w:name w:val="Date"/>
    <w:basedOn w:val="1"/>
    <w:next w:val="1"/>
    <w:link w:val="84"/>
    <w:qFormat/>
    <w:uiPriority w:val="0"/>
    <w:rPr>
      <w:rFonts w:hAnsi="Courier New" w:cs="Times New Roman"/>
      <w:kern w:val="2"/>
      <w:sz w:val="32"/>
      <w:szCs w:val="20"/>
    </w:rPr>
  </w:style>
  <w:style w:type="paragraph" w:styleId="27">
    <w:name w:val="Body Text Indent 2"/>
    <w:basedOn w:val="1"/>
    <w:link w:val="213"/>
    <w:qFormat/>
    <w:uiPriority w:val="0"/>
    <w:pPr>
      <w:spacing w:beforeLines="50" w:afterLines="50" w:line="120" w:lineRule="auto"/>
      <w:ind w:firstLine="840" w:firstLineChars="400"/>
      <w:jc w:val="left"/>
    </w:pPr>
    <w:rPr>
      <w:rFonts w:cs="Times New Roman"/>
      <w:kern w:val="2"/>
    </w:rPr>
  </w:style>
  <w:style w:type="paragraph" w:styleId="28">
    <w:name w:val="Balloon Text"/>
    <w:basedOn w:val="1"/>
    <w:link w:val="110"/>
    <w:semiHidden/>
    <w:qFormat/>
    <w:uiPriority w:val="0"/>
    <w:rPr>
      <w:rFonts w:ascii="Times New Roman" w:hAnsi="Times New Roman" w:cs="Times New Roman"/>
      <w:kern w:val="2"/>
      <w:sz w:val="18"/>
      <w:szCs w:val="18"/>
    </w:rPr>
  </w:style>
  <w:style w:type="paragraph" w:styleId="29">
    <w:name w:val="footer"/>
    <w:basedOn w:val="1"/>
    <w:link w:val="109"/>
    <w:qFormat/>
    <w:uiPriority w:val="99"/>
    <w:pPr>
      <w:tabs>
        <w:tab w:val="center" w:pos="4153"/>
        <w:tab w:val="right" w:pos="8306"/>
      </w:tabs>
      <w:jc w:val="left"/>
    </w:pPr>
    <w:rPr>
      <w:rFonts w:ascii="Times New Roman" w:hAnsi="Times New Roman" w:cs="Times New Roman"/>
      <w:kern w:val="2"/>
      <w:sz w:val="18"/>
      <w:szCs w:val="18"/>
    </w:rPr>
  </w:style>
  <w:style w:type="paragraph" w:styleId="30">
    <w:name w:val="header"/>
    <w:basedOn w:val="1"/>
    <w:link w:val="79"/>
    <w:qFormat/>
    <w:uiPriority w:val="99"/>
    <w:pPr>
      <w:pBdr>
        <w:bottom w:val="single" w:color="auto" w:sz="6" w:space="1"/>
      </w:pBdr>
      <w:tabs>
        <w:tab w:val="center" w:pos="4153"/>
        <w:tab w:val="right" w:pos="8306"/>
      </w:tabs>
      <w:jc w:val="center"/>
    </w:pPr>
    <w:rPr>
      <w:rFonts w:ascii="Times New Roman" w:hAnsi="Times New Roman" w:cs="Times New Roman"/>
      <w:kern w:val="2"/>
      <w:sz w:val="18"/>
      <w:szCs w:val="18"/>
    </w:rPr>
  </w:style>
  <w:style w:type="paragraph" w:styleId="31">
    <w:name w:val="toc 1"/>
    <w:basedOn w:val="1"/>
    <w:next w:val="1"/>
    <w:qFormat/>
    <w:uiPriority w:val="39"/>
    <w:pPr>
      <w:tabs>
        <w:tab w:val="right" w:leader="dot" w:pos="8789"/>
      </w:tabs>
      <w:adjustRightInd/>
      <w:snapToGrid/>
      <w:spacing w:before="120" w:after="120"/>
      <w:jc w:val="left"/>
    </w:pPr>
    <w:rPr>
      <w:b/>
      <w:bCs/>
      <w:caps/>
      <w:sz w:val="28"/>
    </w:rPr>
  </w:style>
  <w:style w:type="paragraph" w:styleId="32">
    <w:name w:val="toc 4"/>
    <w:basedOn w:val="1"/>
    <w:next w:val="1"/>
    <w:qFormat/>
    <w:uiPriority w:val="0"/>
    <w:pPr>
      <w:ind w:left="630"/>
      <w:jc w:val="left"/>
    </w:pPr>
    <w:rPr>
      <w:szCs w:val="21"/>
    </w:rPr>
  </w:style>
  <w:style w:type="paragraph" w:styleId="33">
    <w:name w:val="Subtitle"/>
    <w:basedOn w:val="1"/>
    <w:next w:val="1"/>
    <w:link w:val="76"/>
    <w:qFormat/>
    <w:uiPriority w:val="0"/>
    <w:pPr>
      <w:spacing w:before="240" w:after="60" w:line="312" w:lineRule="auto"/>
      <w:jc w:val="center"/>
      <w:outlineLvl w:val="1"/>
    </w:pPr>
    <w:rPr>
      <w:rFonts w:ascii="Cambria" w:hAnsi="Cambria" w:cs="Times New Roman"/>
      <w:b/>
      <w:bCs/>
      <w:kern w:val="28"/>
      <w:sz w:val="28"/>
      <w:szCs w:val="32"/>
    </w:rPr>
  </w:style>
  <w:style w:type="paragraph" w:styleId="34">
    <w:name w:val="toc 6"/>
    <w:basedOn w:val="1"/>
    <w:next w:val="1"/>
    <w:qFormat/>
    <w:uiPriority w:val="0"/>
    <w:pPr>
      <w:ind w:left="1050"/>
      <w:jc w:val="left"/>
    </w:pPr>
    <w:rPr>
      <w:szCs w:val="21"/>
    </w:rPr>
  </w:style>
  <w:style w:type="paragraph" w:styleId="35">
    <w:name w:val="Body Text Indent 3"/>
    <w:basedOn w:val="1"/>
    <w:link w:val="269"/>
    <w:qFormat/>
    <w:uiPriority w:val="0"/>
    <w:pPr>
      <w:ind w:firstLine="482" w:firstLineChars="200"/>
    </w:pPr>
    <w:rPr>
      <w:rFonts w:hAnsi="Times New Roman" w:cs="Times New Roman"/>
      <w:b/>
      <w:bCs/>
      <w:kern w:val="2"/>
      <w:sz w:val="24"/>
    </w:rPr>
  </w:style>
  <w:style w:type="paragraph" w:styleId="36">
    <w:name w:val="toc 2"/>
    <w:basedOn w:val="1"/>
    <w:next w:val="1"/>
    <w:qFormat/>
    <w:uiPriority w:val="39"/>
    <w:pPr>
      <w:tabs>
        <w:tab w:val="right" w:leader="dot" w:pos="8789"/>
        <w:tab w:val="clear" w:pos="426"/>
      </w:tabs>
      <w:adjustRightInd/>
      <w:snapToGrid/>
      <w:spacing w:line="300" w:lineRule="auto"/>
      <w:ind w:left="50" w:leftChars="50"/>
    </w:pPr>
    <w:rPr>
      <w:smallCaps/>
      <w:sz w:val="28"/>
    </w:rPr>
  </w:style>
  <w:style w:type="paragraph" w:styleId="37">
    <w:name w:val="toc 9"/>
    <w:basedOn w:val="1"/>
    <w:next w:val="1"/>
    <w:qFormat/>
    <w:uiPriority w:val="0"/>
    <w:pPr>
      <w:ind w:left="1680"/>
      <w:jc w:val="left"/>
    </w:pPr>
    <w:rPr>
      <w:szCs w:val="21"/>
    </w:rPr>
  </w:style>
  <w:style w:type="paragraph" w:styleId="38">
    <w:name w:val="Body Text 2"/>
    <w:basedOn w:val="1"/>
    <w:link w:val="273"/>
    <w:qFormat/>
    <w:uiPriority w:val="0"/>
    <w:rPr>
      <w:rFonts w:ascii="Times New Roman" w:hAnsi="Times New Roman" w:cs="Times New Roman"/>
      <w:kern w:val="2"/>
      <w:sz w:val="24"/>
    </w:rPr>
  </w:style>
  <w:style w:type="paragraph" w:styleId="39">
    <w:name w:val="HTML Preformatted"/>
    <w:basedOn w:val="1"/>
    <w:link w:val="2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sz w:val="20"/>
      <w:szCs w:val="20"/>
    </w:rPr>
  </w:style>
  <w:style w:type="paragraph" w:styleId="40">
    <w:name w:val="Normal (Web)"/>
    <w:basedOn w:val="1"/>
    <w:qFormat/>
    <w:uiPriority w:val="0"/>
    <w:rPr>
      <w:sz w:val="24"/>
    </w:rPr>
  </w:style>
  <w:style w:type="paragraph" w:styleId="41">
    <w:name w:val="index 1"/>
    <w:basedOn w:val="1"/>
    <w:next w:val="1"/>
    <w:qFormat/>
    <w:uiPriority w:val="99"/>
    <w:rPr>
      <w:b/>
      <w:color w:val="0000FF"/>
      <w:sz w:val="24"/>
    </w:rPr>
  </w:style>
  <w:style w:type="paragraph" w:styleId="42">
    <w:name w:val="Title"/>
    <w:basedOn w:val="1"/>
    <w:link w:val="136"/>
    <w:qFormat/>
    <w:uiPriority w:val="0"/>
    <w:pPr>
      <w:spacing w:before="240" w:after="60"/>
      <w:jc w:val="center"/>
      <w:outlineLvl w:val="0"/>
    </w:pPr>
    <w:rPr>
      <w:rFonts w:ascii="Arial" w:hAnsi="Arial" w:cs="Times New Roman"/>
      <w:b/>
      <w:bCs/>
      <w:kern w:val="2"/>
      <w:sz w:val="36"/>
      <w:szCs w:val="32"/>
    </w:rPr>
  </w:style>
  <w:style w:type="paragraph" w:styleId="43">
    <w:name w:val="annotation subject"/>
    <w:basedOn w:val="19"/>
    <w:next w:val="19"/>
    <w:link w:val="251"/>
    <w:qFormat/>
    <w:uiPriority w:val="0"/>
    <w:pPr>
      <w:autoSpaceDE/>
      <w:autoSpaceDN/>
      <w:adjustRightInd/>
      <w:textAlignment w:val="auto"/>
    </w:pPr>
    <w:rPr>
      <w:rFonts w:ascii="Times New Roman"/>
      <w:b/>
      <w:bCs/>
      <w:kern w:val="2"/>
      <w:sz w:val="21"/>
      <w:szCs w:val="24"/>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6">
    <w:name w:val="Table Theme"/>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8">
    <w:name w:val="Strong"/>
    <w:qFormat/>
    <w:uiPriority w:val="0"/>
    <w:rPr>
      <w:b/>
      <w:bCs/>
    </w:rPr>
  </w:style>
  <w:style w:type="character" w:styleId="49">
    <w:name w:val="page number"/>
    <w:basedOn w:val="47"/>
    <w:qFormat/>
    <w:uiPriority w:val="0"/>
  </w:style>
  <w:style w:type="character" w:styleId="50">
    <w:name w:val="FollowedHyperlink"/>
    <w:basedOn w:val="47"/>
    <w:qFormat/>
    <w:uiPriority w:val="0"/>
    <w:rPr>
      <w:rFonts w:hint="eastAsia" w:ascii="宋体" w:hAnsi="宋体" w:eastAsia="宋体" w:cs="宋体"/>
      <w:color w:val="0031C1"/>
      <w:sz w:val="18"/>
      <w:szCs w:val="18"/>
      <w:u w:val="none"/>
    </w:rPr>
  </w:style>
  <w:style w:type="character" w:styleId="51">
    <w:name w:val="Emphasis"/>
    <w:qFormat/>
    <w:uiPriority w:val="0"/>
    <w:rPr>
      <w:i/>
      <w:iCs/>
    </w:rPr>
  </w:style>
  <w:style w:type="character" w:styleId="52">
    <w:name w:val="Hyperlink"/>
    <w:basedOn w:val="47"/>
    <w:qFormat/>
    <w:uiPriority w:val="99"/>
    <w:rPr>
      <w:rFonts w:hint="eastAsia" w:ascii="宋体" w:hAnsi="宋体" w:eastAsia="宋体" w:cs="宋体"/>
      <w:color w:val="0031C1"/>
      <w:sz w:val="18"/>
      <w:szCs w:val="18"/>
      <w:u w:val="none"/>
    </w:rPr>
  </w:style>
  <w:style w:type="character" w:styleId="53">
    <w:name w:val="annotation reference"/>
    <w:unhideWhenUsed/>
    <w:qFormat/>
    <w:uiPriority w:val="0"/>
    <w:rPr>
      <w:sz w:val="21"/>
      <w:szCs w:val="21"/>
    </w:rPr>
  </w:style>
  <w:style w:type="character" w:customStyle="1" w:styleId="54">
    <w:name w:val="标题 4 Char"/>
    <w:link w:val="5"/>
    <w:qFormat/>
    <w:uiPriority w:val="0"/>
    <w:rPr>
      <w:rFonts w:ascii="Arial" w:hAnsi="Arial" w:eastAsia="黑体"/>
      <w:b/>
      <w:bCs/>
      <w:kern w:val="2"/>
      <w:sz w:val="28"/>
      <w:szCs w:val="28"/>
      <w:lang w:val="en-US" w:eastAsia="zh-CN" w:bidi="ar-SA"/>
    </w:rPr>
  </w:style>
  <w:style w:type="paragraph" w:customStyle="1" w:styleId="55">
    <w:name w:val="Char"/>
    <w:basedOn w:val="1"/>
    <w:qFormat/>
    <w:uiPriority w:val="0"/>
    <w:pPr>
      <w:spacing w:after="160" w:line="240" w:lineRule="exact"/>
      <w:jc w:val="left"/>
    </w:pPr>
    <w:rPr>
      <w:rFonts w:ascii="Verdana" w:hAnsi="Verdana" w:eastAsia="仿宋_GB2312"/>
      <w:sz w:val="24"/>
      <w:szCs w:val="20"/>
      <w:lang w:eastAsia="en-US"/>
    </w:rPr>
  </w:style>
  <w:style w:type="character" w:customStyle="1" w:styleId="56">
    <w:name w:val="标题 3 Char1"/>
    <w:link w:val="4"/>
    <w:qFormat/>
    <w:uiPriority w:val="0"/>
    <w:rPr>
      <w:rFonts w:ascii="宋体" w:hAnsi="宋体"/>
      <w:b/>
      <w:bCs/>
      <w:kern w:val="2"/>
      <w:sz w:val="24"/>
      <w:szCs w:val="32"/>
      <w:shd w:val="clear" w:color="auto" w:fill="FFFFFF"/>
    </w:rPr>
  </w:style>
  <w:style w:type="character" w:customStyle="1" w:styleId="57">
    <w:name w:val="标题 1 Char"/>
    <w:link w:val="3"/>
    <w:qFormat/>
    <w:uiPriority w:val="0"/>
    <w:rPr>
      <w:rFonts w:ascii="宋体" w:hAnsi="宋体" w:eastAsia="黑体"/>
      <w:b/>
      <w:bCs/>
      <w:kern w:val="44"/>
      <w:sz w:val="28"/>
      <w:szCs w:val="28"/>
      <w:lang w:val="en-US" w:eastAsia="zh-CN" w:bidi="ar-SA"/>
    </w:rPr>
  </w:style>
  <w:style w:type="character" w:customStyle="1" w:styleId="58">
    <w:name w:val="正文缩进 Char"/>
    <w:link w:val="8"/>
    <w:qFormat/>
    <w:uiPriority w:val="0"/>
    <w:rPr>
      <w:rFonts w:eastAsia="宋体"/>
      <w:kern w:val="2"/>
      <w:sz w:val="21"/>
      <w:lang w:val="en-US" w:eastAsia="zh-CN" w:bidi="ar-SA"/>
    </w:rPr>
  </w:style>
  <w:style w:type="character" w:customStyle="1" w:styleId="59">
    <w:name w:val="标题 3 Char"/>
    <w:qFormat/>
    <w:uiPriority w:val="0"/>
    <w:rPr>
      <w:rFonts w:ascii="黑体" w:eastAsia="黑体"/>
      <w:bCs/>
      <w:sz w:val="30"/>
    </w:rPr>
  </w:style>
  <w:style w:type="paragraph" w:customStyle="1" w:styleId="60">
    <w:name w:val="样式41"/>
    <w:basedOn w:val="1"/>
    <w:qFormat/>
    <w:uiPriority w:val="0"/>
    <w:pPr>
      <w:tabs>
        <w:tab w:val="left" w:pos="945"/>
        <w:tab w:val="left" w:pos="2040"/>
      </w:tabs>
      <w:ind w:left="2040" w:leftChars="800" w:hanging="360" w:hangingChars="200"/>
    </w:pPr>
    <w:rPr>
      <w:b/>
      <w:color w:val="000000"/>
      <w:sz w:val="24"/>
      <w:szCs w:val="20"/>
    </w:rPr>
  </w:style>
  <w:style w:type="paragraph" w:customStyle="1" w:styleId="61">
    <w:name w:val="图"/>
    <w:basedOn w:val="1"/>
    <w:qFormat/>
    <w:uiPriority w:val="0"/>
    <w:pPr>
      <w:keepNext/>
      <w:spacing w:before="60" w:after="60" w:line="300" w:lineRule="auto"/>
      <w:jc w:val="center"/>
    </w:pPr>
    <w:rPr>
      <w:spacing w:val="20"/>
      <w:sz w:val="24"/>
      <w:szCs w:val="20"/>
    </w:rPr>
  </w:style>
  <w:style w:type="paragraph" w:customStyle="1" w:styleId="62">
    <w:name w:val="文档正文"/>
    <w:basedOn w:val="1"/>
    <w:qFormat/>
    <w:uiPriority w:val="0"/>
    <w:pPr>
      <w:spacing w:line="480" w:lineRule="atLeast"/>
      <w:ind w:firstLine="567" w:firstLineChars="200"/>
      <w:textAlignment w:val="baseline"/>
    </w:pPr>
    <w:rPr>
      <w:rFonts w:ascii="长城仿宋"/>
      <w:szCs w:val="20"/>
    </w:rPr>
  </w:style>
  <w:style w:type="paragraph" w:customStyle="1" w:styleId="63">
    <w:name w:val="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64">
    <w:name w:val="Char1"/>
    <w:basedOn w:val="1"/>
    <w:qFormat/>
    <w:uiPriority w:val="0"/>
    <w:pPr>
      <w:spacing w:after="160" w:line="240" w:lineRule="exact"/>
      <w:jc w:val="left"/>
    </w:pPr>
    <w:rPr>
      <w:rFonts w:ascii="Verdana" w:hAnsi="Verdana" w:eastAsia="仿宋_GB2312"/>
      <w:sz w:val="24"/>
      <w:szCs w:val="20"/>
      <w:lang w:eastAsia="en-US"/>
    </w:rPr>
  </w:style>
  <w:style w:type="paragraph" w:customStyle="1" w:styleId="65">
    <w:name w:val="Char Char Char Char1"/>
    <w:basedOn w:val="1"/>
    <w:qFormat/>
    <w:uiPriority w:val="0"/>
    <w:pPr>
      <w:spacing w:after="160" w:line="240" w:lineRule="exact"/>
      <w:jc w:val="left"/>
    </w:pPr>
    <w:rPr>
      <w:rFonts w:ascii="Verdana" w:hAnsi="Verdana" w:eastAsia="仿宋_GB2312"/>
      <w:sz w:val="24"/>
      <w:szCs w:val="20"/>
      <w:lang w:eastAsia="en-US"/>
    </w:rPr>
  </w:style>
  <w:style w:type="paragraph" w:customStyle="1" w:styleId="6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7">
    <w:name w:val="自定义正文"/>
    <w:basedOn w:val="1"/>
    <w:qFormat/>
    <w:uiPriority w:val="0"/>
    <w:pPr>
      <w:spacing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spacing w:line="360" w:lineRule="atLeast"/>
    </w:pPr>
    <w:rPr>
      <w:rFonts w:ascii="文鼎粗黑" w:eastAsia="文鼎粗黑"/>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overflowPunct w:val="0"/>
      <w:autoSpaceDE w:val="0"/>
      <w:autoSpaceDN w:val="0"/>
      <w:jc w:val="left"/>
      <w:textAlignment w:val="baseline"/>
    </w:pPr>
    <w:rPr>
      <w:sz w:val="24"/>
      <w:szCs w:val="20"/>
    </w:rPr>
  </w:style>
  <w:style w:type="character" w:customStyle="1" w:styleId="72">
    <w:name w:val="批注文字 Char"/>
    <w:link w:val="19"/>
    <w:qFormat/>
    <w:uiPriority w:val="0"/>
    <w:rPr>
      <w:rFonts w:ascii="宋体" w:eastAsia="宋体"/>
      <w:sz w:val="34"/>
      <w:lang w:val="en-US" w:eastAsia="zh-CN" w:bidi="ar-SA"/>
    </w:rPr>
  </w:style>
  <w:style w:type="character" w:customStyle="1" w:styleId="73">
    <w:name w:val="纯文本 Char"/>
    <w:link w:val="24"/>
    <w:qFormat/>
    <w:uiPriority w:val="0"/>
    <w:rPr>
      <w:rFonts w:ascii="宋体" w:hAnsi="Courier New"/>
      <w:kern w:val="2"/>
      <w:sz w:val="21"/>
    </w:rPr>
  </w:style>
  <w:style w:type="character" w:customStyle="1" w:styleId="74">
    <w:name w:val="apple-converted-space"/>
    <w:basedOn w:val="47"/>
    <w:qFormat/>
    <w:uiPriority w:val="0"/>
  </w:style>
  <w:style w:type="paragraph" w:customStyle="1" w:styleId="75">
    <w:name w:val="TOC 标题1"/>
    <w:basedOn w:val="3"/>
    <w:next w:val="1"/>
    <w:qFormat/>
    <w:uiPriority w:val="39"/>
    <w:pPr>
      <w:spacing w:before="480" w:after="0" w:line="276" w:lineRule="auto"/>
      <w:jc w:val="left"/>
      <w:outlineLvl w:val="9"/>
    </w:pPr>
    <w:rPr>
      <w:rFonts w:ascii="Cambria" w:hAnsi="Cambria" w:eastAsia="宋体"/>
      <w:color w:val="365F91"/>
      <w:kern w:val="0"/>
    </w:rPr>
  </w:style>
  <w:style w:type="character" w:customStyle="1" w:styleId="76">
    <w:name w:val="副标题 Char"/>
    <w:link w:val="33"/>
    <w:qFormat/>
    <w:uiPriority w:val="0"/>
    <w:rPr>
      <w:rFonts w:ascii="Cambria" w:hAnsi="Cambria" w:cs="Times New Roman"/>
      <w:b/>
      <w:bCs/>
      <w:kern w:val="28"/>
      <w:sz w:val="28"/>
      <w:szCs w:val="32"/>
    </w:rPr>
  </w:style>
  <w:style w:type="paragraph" w:customStyle="1" w:styleId="77">
    <w:name w:val="Char Char Char"/>
    <w:basedOn w:val="1"/>
    <w:qFormat/>
    <w:uiPriority w:val="0"/>
    <w:rPr>
      <w:rFonts w:ascii="Tahoma" w:hAnsi="Tahoma"/>
      <w:sz w:val="24"/>
      <w:szCs w:val="20"/>
    </w:rPr>
  </w:style>
  <w:style w:type="paragraph" w:customStyle="1" w:styleId="78">
    <w:name w:val="列出段落1"/>
    <w:basedOn w:val="1"/>
    <w:link w:val="89"/>
    <w:qFormat/>
    <w:uiPriority w:val="0"/>
    <w:pPr>
      <w:ind w:firstLine="420" w:firstLineChars="200"/>
    </w:pPr>
    <w:rPr>
      <w:rFonts w:ascii="Times New Roman" w:hAnsi="Times New Roman" w:cs="Times New Roman"/>
      <w:kern w:val="2"/>
    </w:rPr>
  </w:style>
  <w:style w:type="character" w:customStyle="1" w:styleId="79">
    <w:name w:val="页眉 Char"/>
    <w:link w:val="30"/>
    <w:qFormat/>
    <w:uiPriority w:val="99"/>
    <w:rPr>
      <w:kern w:val="2"/>
      <w:sz w:val="18"/>
      <w:szCs w:val="18"/>
    </w:rPr>
  </w:style>
  <w:style w:type="paragraph" w:customStyle="1" w:styleId="80">
    <w:name w:val="Default"/>
    <w:link w:val="217"/>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customStyle="1" w:styleId="81">
    <w:name w:val="主题"/>
    <w:basedOn w:val="1"/>
    <w:qFormat/>
    <w:uiPriority w:val="0"/>
  </w:style>
  <w:style w:type="paragraph" w:customStyle="1" w:styleId="82">
    <w:name w:val="默认段落字体 Para Char Char Char Char Char Char Char Char Char3 Char Char Char Char"/>
    <w:basedOn w:val="17"/>
    <w:qFormat/>
    <w:uiPriority w:val="0"/>
    <w:pPr>
      <w:spacing w:line="436" w:lineRule="exact"/>
      <w:ind w:left="357"/>
      <w:jc w:val="left"/>
      <w:outlineLvl w:val="3"/>
    </w:pPr>
    <w:rPr>
      <w:rFonts w:ascii="Tahoma" w:hAnsi="Tahoma"/>
      <w:b/>
      <w:sz w:val="24"/>
    </w:rPr>
  </w:style>
  <w:style w:type="paragraph" w:customStyle="1" w:styleId="83">
    <w:name w:val="目次、标准名称标题"/>
    <w:basedOn w:val="1"/>
    <w:next w:val="1"/>
    <w:qFormat/>
    <w:uiPriority w:val="0"/>
    <w:pPr>
      <w:shd w:val="clear" w:color="FFFFFF" w:fill="FFFFFF"/>
      <w:spacing w:before="640" w:after="560" w:line="460" w:lineRule="exact"/>
      <w:jc w:val="center"/>
      <w:outlineLvl w:val="0"/>
    </w:pPr>
    <w:rPr>
      <w:rFonts w:ascii="黑体" w:eastAsia="黑体"/>
      <w:sz w:val="32"/>
      <w:szCs w:val="20"/>
    </w:rPr>
  </w:style>
  <w:style w:type="character" w:customStyle="1" w:styleId="84">
    <w:name w:val="日期 Char"/>
    <w:link w:val="26"/>
    <w:qFormat/>
    <w:uiPriority w:val="0"/>
    <w:rPr>
      <w:rFonts w:ascii="宋体" w:hAnsi="Courier New"/>
      <w:kern w:val="2"/>
      <w:sz w:val="32"/>
    </w:rPr>
  </w:style>
  <w:style w:type="paragraph" w:customStyle="1" w:styleId="85">
    <w:name w:val="表1黑体居中"/>
    <w:basedOn w:val="1"/>
    <w:qFormat/>
    <w:uiPriority w:val="0"/>
    <w:pPr>
      <w:ind w:firstLine="435"/>
      <w:jc w:val="center"/>
      <w:textAlignment w:val="baseline"/>
    </w:pPr>
    <w:rPr>
      <w:rFonts w:ascii="黑体" w:eastAsia="黑体"/>
      <w:szCs w:val="21"/>
    </w:rPr>
  </w:style>
  <w:style w:type="paragraph" w:customStyle="1" w:styleId="86">
    <w:name w:val="MaoC2"/>
    <w:basedOn w:val="1"/>
    <w:qFormat/>
    <w:uiPriority w:val="0"/>
    <w:pPr>
      <w:numPr>
        <w:ilvl w:val="1"/>
        <w:numId w:val="2"/>
      </w:numPr>
      <w:spacing w:line="480" w:lineRule="auto"/>
      <w:outlineLvl w:val="1"/>
    </w:pPr>
    <w:rPr>
      <w:rFonts w:ascii="黑体" w:eastAsia="黑体"/>
      <w:szCs w:val="20"/>
    </w:rPr>
  </w:style>
  <w:style w:type="paragraph" w:customStyle="1" w:styleId="87">
    <w:name w:val="图目录4"/>
    <w:basedOn w:val="1"/>
    <w:next w:val="1"/>
    <w:qFormat/>
    <w:uiPriority w:val="0"/>
    <w:pPr>
      <w:numPr>
        <w:ilvl w:val="0"/>
        <w:numId w:val="3"/>
      </w:numPr>
      <w:ind w:hanging="448"/>
      <w:jc w:val="center"/>
      <w:textAlignment w:val="baseline"/>
    </w:pPr>
    <w:rPr>
      <w:szCs w:val="20"/>
    </w:rPr>
  </w:style>
  <w:style w:type="paragraph" w:customStyle="1" w:styleId="88">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89">
    <w:name w:val="列出段落 Char"/>
    <w:link w:val="78"/>
    <w:qFormat/>
    <w:uiPriority w:val="0"/>
    <w:rPr>
      <w:kern w:val="2"/>
      <w:sz w:val="21"/>
      <w:szCs w:val="24"/>
    </w:rPr>
  </w:style>
  <w:style w:type="table" w:customStyle="1" w:styleId="90">
    <w:name w:val="Table Normal"/>
    <w:qFormat/>
    <w:uiPriority w:val="0"/>
    <w:pPr>
      <w:spacing w:line="360" w:lineRule="auto"/>
      <w:jc w:val="both"/>
    </w:pPr>
    <w:tblPr>
      <w:tblLayout w:type="fixed"/>
      <w:tblCellMar>
        <w:top w:w="0" w:type="dxa"/>
        <w:left w:w="0" w:type="dxa"/>
        <w:bottom w:w="0" w:type="dxa"/>
        <w:right w:w="0" w:type="dxa"/>
      </w:tblCellMar>
    </w:tblPr>
  </w:style>
  <w:style w:type="paragraph" w:customStyle="1" w:styleId="91">
    <w:name w:val="样式1"/>
    <w:basedOn w:val="1"/>
    <w:qFormat/>
    <w:uiPriority w:val="0"/>
    <w:pPr>
      <w:keepNext/>
      <w:keepLines/>
      <w:numPr>
        <w:ilvl w:val="0"/>
        <w:numId w:val="4"/>
      </w:numPr>
      <w:spacing w:before="340" w:after="330"/>
      <w:outlineLvl w:val="0"/>
    </w:pPr>
    <w:rPr>
      <w:b/>
      <w:kern w:val="44"/>
      <w:sz w:val="44"/>
      <w:szCs w:val="20"/>
    </w:rPr>
  </w:style>
  <w:style w:type="paragraph" w:customStyle="1" w:styleId="92">
    <w:name w:val="参数内容"/>
    <w:basedOn w:val="78"/>
    <w:qFormat/>
    <w:uiPriority w:val="0"/>
    <w:pPr>
      <w:numPr>
        <w:ilvl w:val="0"/>
        <w:numId w:val="5"/>
      </w:numPr>
      <w:ind w:firstLine="0" w:firstLineChars="0"/>
    </w:pPr>
    <w:rPr>
      <w:szCs w:val="18"/>
    </w:rPr>
  </w:style>
  <w:style w:type="paragraph" w:customStyle="1" w:styleId="93">
    <w:name w:val="标准正文"/>
    <w:basedOn w:val="21"/>
    <w:link w:val="94"/>
    <w:qFormat/>
    <w:uiPriority w:val="0"/>
    <w:pPr>
      <w:spacing w:before="60" w:after="60"/>
      <w:ind w:firstLine="482" w:firstLineChars="0"/>
      <w:jc w:val="left"/>
    </w:pPr>
    <w:rPr>
      <w:rFonts w:ascii="宋体" w:hAnsi="宋体"/>
      <w:kern w:val="0"/>
      <w:sz w:val="24"/>
      <w:szCs w:val="20"/>
    </w:rPr>
  </w:style>
  <w:style w:type="character" w:customStyle="1" w:styleId="94">
    <w:name w:val="标准正文 Char"/>
    <w:link w:val="93"/>
    <w:qFormat/>
    <w:uiPriority w:val="0"/>
    <w:rPr>
      <w:rFonts w:ascii="宋体" w:hAnsi="宋体" w:cs="宋体"/>
      <w:sz w:val="24"/>
    </w:rPr>
  </w:style>
  <w:style w:type="paragraph" w:customStyle="1" w:styleId="95">
    <w:name w:val="下级参数内容"/>
    <w:basedOn w:val="78"/>
    <w:qFormat/>
    <w:uiPriority w:val="0"/>
    <w:pPr>
      <w:numPr>
        <w:ilvl w:val="0"/>
        <w:numId w:val="6"/>
      </w:numPr>
      <w:ind w:left="1134" w:firstLine="0" w:firstLineChars="0"/>
    </w:pPr>
    <w:rPr>
      <w:rFonts w:ascii="仿宋" w:hAnsi="仿宋"/>
    </w:rPr>
  </w:style>
  <w:style w:type="paragraph" w:customStyle="1" w:styleId="96">
    <w:name w:val="Char Char Char1"/>
    <w:basedOn w:val="1"/>
    <w:qFormat/>
    <w:uiPriority w:val="0"/>
    <w:rPr>
      <w:rFonts w:ascii="Tahoma" w:hAnsi="Tahoma"/>
      <w:sz w:val="24"/>
      <w:szCs w:val="20"/>
    </w:rPr>
  </w:style>
  <w:style w:type="paragraph" w:customStyle="1" w:styleId="97">
    <w:name w:val="Char Char10 Char Char"/>
    <w:basedOn w:val="17"/>
    <w:qFormat/>
    <w:uiPriority w:val="0"/>
    <w:rPr>
      <w:rFonts w:ascii="Tahoma" w:hAnsi="Tahoma"/>
      <w:sz w:val="24"/>
    </w:rPr>
  </w:style>
  <w:style w:type="paragraph" w:customStyle="1" w:styleId="98">
    <w:name w:val="_Style 95"/>
    <w:unhideWhenUsed/>
    <w:qFormat/>
    <w:uiPriority w:val="99"/>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99">
    <w:name w:val="font5"/>
    <w:basedOn w:val="1"/>
    <w:qFormat/>
    <w:uiPriority w:val="0"/>
    <w:pPr>
      <w:spacing w:before="100" w:beforeAutospacing="1" w:after="100" w:afterAutospacing="1"/>
      <w:jc w:val="left"/>
    </w:pPr>
    <w:rPr>
      <w:sz w:val="18"/>
      <w:szCs w:val="18"/>
    </w:rPr>
  </w:style>
  <w:style w:type="paragraph" w:customStyle="1" w:styleId="100">
    <w:name w:val="xl65"/>
    <w:basedOn w:val="1"/>
    <w:qFormat/>
    <w:uiPriority w:val="0"/>
    <w:pPr>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b/>
      <w:bCs/>
      <w:sz w:val="24"/>
    </w:rPr>
  </w:style>
  <w:style w:type="paragraph" w:customStyle="1" w:styleId="101">
    <w:name w:val="xl66"/>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2">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color w:val="000000"/>
      <w:sz w:val="24"/>
    </w:rPr>
  </w:style>
  <w:style w:type="paragraph" w:customStyle="1" w:styleId="103">
    <w:name w:val="xl68"/>
    <w:basedOn w:val="1"/>
    <w:qFormat/>
    <w:uiPriority w:val="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b/>
      <w:bCs/>
      <w:sz w:val="24"/>
    </w:rPr>
  </w:style>
  <w:style w:type="paragraph" w:customStyle="1" w:styleId="104">
    <w:name w:val="xl69"/>
    <w:basedOn w:val="1"/>
    <w:qFormat/>
    <w:uiPriority w:val="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5">
    <w:name w:val="样式 标题 3style3H3h33rd levelLevel 3 Headlevel_3PIM 33l3C..."/>
    <w:basedOn w:val="4"/>
    <w:qFormat/>
    <w:uiPriority w:val="0"/>
    <w:pPr>
      <w:tabs>
        <w:tab w:val="left" w:pos="851"/>
      </w:tabs>
      <w:spacing w:beforeLines="50" w:afterLines="50" w:line="415" w:lineRule="auto"/>
      <w:ind w:left="-4" w:leftChars="-2" w:right="220" w:firstLine="571" w:firstLineChars="203"/>
      <w:jc w:val="left"/>
    </w:pPr>
    <w:rPr>
      <w:rFonts w:ascii="Times New Roman" w:hAnsi="Times New Roman" w:cs="宋体"/>
      <w:bCs w:val="0"/>
      <w:color w:val="000000"/>
      <w:szCs w:val="20"/>
    </w:rPr>
  </w:style>
  <w:style w:type="paragraph" w:customStyle="1" w:styleId="106">
    <w:name w:val="样式2"/>
    <w:basedOn w:val="3"/>
    <w:qFormat/>
    <w:uiPriority w:val="0"/>
    <w:pPr>
      <w:keepNext/>
      <w:keepLines/>
      <w:spacing w:before="0" w:after="0" w:line="578" w:lineRule="auto"/>
      <w:ind w:left="1200" w:hanging="420"/>
      <w:jc w:val="both"/>
    </w:pPr>
    <w:rPr>
      <w:rFonts w:eastAsia="宋体"/>
      <w:szCs w:val="44"/>
    </w:rPr>
  </w:style>
  <w:style w:type="paragraph" w:customStyle="1" w:styleId="107">
    <w:name w:val="样式3"/>
    <w:basedOn w:val="1"/>
    <w:qFormat/>
    <w:uiPriority w:val="0"/>
    <w:pPr>
      <w:ind w:left="1620" w:hanging="420"/>
      <w:outlineLvl w:val="2"/>
    </w:pPr>
    <w:rPr>
      <w:b/>
    </w:rPr>
  </w:style>
  <w:style w:type="paragraph" w:customStyle="1" w:styleId="108">
    <w:name w:val="样式4"/>
    <w:basedOn w:val="78"/>
    <w:qFormat/>
    <w:uiPriority w:val="0"/>
    <w:pPr>
      <w:ind w:left="2040" w:firstLine="0" w:firstLineChars="0"/>
      <w:jc w:val="left"/>
      <w:outlineLvl w:val="3"/>
    </w:pPr>
    <w:rPr>
      <w:rFonts w:ascii="宋体" w:hAnsi="宋体"/>
    </w:rPr>
  </w:style>
  <w:style w:type="character" w:customStyle="1" w:styleId="109">
    <w:name w:val="页脚 Char"/>
    <w:link w:val="29"/>
    <w:qFormat/>
    <w:uiPriority w:val="99"/>
    <w:rPr>
      <w:kern w:val="2"/>
      <w:sz w:val="18"/>
      <w:szCs w:val="18"/>
    </w:rPr>
  </w:style>
  <w:style w:type="character" w:customStyle="1" w:styleId="110">
    <w:name w:val="批注框文本 Char"/>
    <w:link w:val="28"/>
    <w:semiHidden/>
    <w:qFormat/>
    <w:uiPriority w:val="0"/>
    <w:rPr>
      <w:kern w:val="2"/>
      <w:sz w:val="18"/>
      <w:szCs w:val="18"/>
    </w:rPr>
  </w:style>
  <w:style w:type="character" w:customStyle="1" w:styleId="111">
    <w:name w:val="文档结构图 Char"/>
    <w:link w:val="17"/>
    <w:semiHidden/>
    <w:qFormat/>
    <w:uiPriority w:val="0"/>
    <w:rPr>
      <w:kern w:val="2"/>
      <w:sz w:val="21"/>
      <w:szCs w:val="24"/>
      <w:shd w:val="clear" w:color="auto" w:fill="000080"/>
    </w:rPr>
  </w:style>
  <w:style w:type="paragraph" w:customStyle="1" w:styleId="112">
    <w:name w:val="p0"/>
    <w:basedOn w:val="1"/>
    <w:qFormat/>
    <w:uiPriority w:val="0"/>
    <w:rPr>
      <w:rFonts w:ascii="Calibri" w:hAnsi="Calibri"/>
      <w:szCs w:val="21"/>
    </w:rPr>
  </w:style>
  <w:style w:type="paragraph" w:customStyle="1" w:styleId="113">
    <w:name w:val="图标题"/>
    <w:basedOn w:val="1"/>
    <w:link w:val="117"/>
    <w:qFormat/>
    <w:uiPriority w:val="0"/>
    <w:pPr>
      <w:jc w:val="center"/>
    </w:pPr>
    <w:rPr>
      <w:rFonts w:cs="Times New Roman"/>
      <w:kern w:val="2"/>
    </w:rPr>
  </w:style>
  <w:style w:type="paragraph" w:customStyle="1" w:styleId="114">
    <w:name w:val="表标题"/>
    <w:basedOn w:val="1"/>
    <w:qFormat/>
    <w:uiPriority w:val="0"/>
    <w:pPr>
      <w:jc w:val="center"/>
    </w:pPr>
    <w:rPr>
      <w:rFonts w:eastAsia="黑体"/>
      <w:b/>
    </w:rPr>
  </w:style>
  <w:style w:type="paragraph" w:customStyle="1" w:styleId="115">
    <w:name w:val="正文-1级标题-1"/>
    <w:basedOn w:val="1"/>
    <w:next w:val="1"/>
    <w:qFormat/>
    <w:uiPriority w:val="0"/>
    <w:pPr>
      <w:keepNext/>
      <w:numPr>
        <w:ilvl w:val="0"/>
        <w:numId w:val="7"/>
      </w:numPr>
      <w:spacing w:beforeLines="30" w:afterLines="30"/>
      <w:ind w:firstLine="0"/>
    </w:pPr>
    <w:rPr>
      <w:b/>
      <w:sz w:val="24"/>
      <w:szCs w:val="28"/>
      <w:lang w:val="en-GB"/>
    </w:rPr>
  </w:style>
  <w:style w:type="paragraph" w:customStyle="1" w:styleId="116">
    <w:name w:val="正文-1级列表-(1)"/>
    <w:basedOn w:val="1"/>
    <w:qFormat/>
    <w:uiPriority w:val="0"/>
    <w:pPr>
      <w:numPr>
        <w:ilvl w:val="1"/>
        <w:numId w:val="7"/>
      </w:numPr>
      <w:ind w:firstLine="0"/>
    </w:pPr>
    <w:rPr>
      <w:sz w:val="24"/>
      <w:lang w:val="en-GB"/>
    </w:rPr>
  </w:style>
  <w:style w:type="character" w:customStyle="1" w:styleId="117">
    <w:name w:val="图标题 Char"/>
    <w:link w:val="113"/>
    <w:qFormat/>
    <w:uiPriority w:val="0"/>
    <w:rPr>
      <w:rFonts w:ascii="宋体" w:hAnsi="宋体"/>
      <w:kern w:val="2"/>
      <w:sz w:val="21"/>
      <w:szCs w:val="24"/>
    </w:rPr>
  </w:style>
  <w:style w:type="character" w:customStyle="1" w:styleId="118">
    <w:name w:val="标题 5 Char"/>
    <w:link w:val="7"/>
    <w:qFormat/>
    <w:uiPriority w:val="0"/>
    <w:rPr>
      <w:b/>
      <w:kern w:val="2"/>
      <w:sz w:val="24"/>
    </w:rPr>
  </w:style>
  <w:style w:type="character" w:customStyle="1" w:styleId="119">
    <w:name w:val="标题 6 Char"/>
    <w:link w:val="9"/>
    <w:qFormat/>
    <w:uiPriority w:val="0"/>
    <w:rPr>
      <w:rFonts w:ascii="Arial" w:hAnsi="Arial" w:eastAsia="黑体"/>
      <w:b/>
      <w:kern w:val="2"/>
      <w:sz w:val="24"/>
    </w:rPr>
  </w:style>
  <w:style w:type="character" w:customStyle="1" w:styleId="120">
    <w:name w:val="标题 7 Char"/>
    <w:link w:val="10"/>
    <w:qFormat/>
    <w:uiPriority w:val="0"/>
    <w:rPr>
      <w:b/>
      <w:kern w:val="2"/>
      <w:sz w:val="24"/>
    </w:rPr>
  </w:style>
  <w:style w:type="character" w:customStyle="1" w:styleId="121">
    <w:name w:val="标题 8 Char"/>
    <w:link w:val="11"/>
    <w:qFormat/>
    <w:uiPriority w:val="0"/>
    <w:rPr>
      <w:rFonts w:ascii="Arial" w:hAnsi="Arial" w:eastAsia="黑体"/>
      <w:kern w:val="2"/>
      <w:sz w:val="24"/>
    </w:rPr>
  </w:style>
  <w:style w:type="character" w:customStyle="1" w:styleId="122">
    <w:name w:val="标题 9 Char"/>
    <w:link w:val="12"/>
    <w:qFormat/>
    <w:uiPriority w:val="0"/>
    <w:rPr>
      <w:rFonts w:ascii="Arial" w:hAnsi="Arial" w:eastAsia="黑体"/>
      <w:kern w:val="2"/>
      <w:sz w:val="21"/>
    </w:rPr>
  </w:style>
  <w:style w:type="paragraph" w:customStyle="1" w:styleId="123">
    <w:name w:val="样式 标题 1 + 段前: 0.5 行 段后: 0.5 行"/>
    <w:basedOn w:val="3"/>
    <w:qFormat/>
    <w:uiPriority w:val="0"/>
    <w:pPr>
      <w:keepNext/>
      <w:keepLines/>
      <w:numPr>
        <w:ilvl w:val="0"/>
        <w:numId w:val="8"/>
      </w:numPr>
      <w:spacing w:beforeLines="50" w:afterLines="50" w:line="578" w:lineRule="auto"/>
      <w:ind w:left="0" w:firstLine="0"/>
      <w:jc w:val="both"/>
    </w:pPr>
    <w:rPr>
      <w:rFonts w:ascii="Times New Roman" w:hAnsi="Times New Roman" w:eastAsia="宋体" w:cs="宋体"/>
      <w:sz w:val="44"/>
      <w:szCs w:val="20"/>
    </w:rPr>
  </w:style>
  <w:style w:type="paragraph" w:customStyle="1" w:styleId="124">
    <w:name w:val="样式 标题 4 + 段前: 0.5 行 段后: 0.5 行"/>
    <w:basedOn w:val="5"/>
    <w:qFormat/>
    <w:uiPriority w:val="0"/>
    <w:pPr>
      <w:spacing w:beforeLines="50" w:afterLines="50" w:line="377" w:lineRule="auto"/>
      <w:ind w:left="2240"/>
      <w:jc w:val="left"/>
    </w:pPr>
    <w:rPr>
      <w:rFonts w:ascii="Cambria" w:hAnsi="Cambria" w:eastAsia="宋体" w:cs="宋体"/>
      <w:sz w:val="24"/>
      <w:szCs w:val="20"/>
    </w:rPr>
  </w:style>
  <w:style w:type="paragraph" w:customStyle="1" w:styleId="125">
    <w:name w:val="样式 标题 4 + 段前: 0.5 行 段后: 0.5 行1"/>
    <w:basedOn w:val="5"/>
    <w:qFormat/>
    <w:uiPriority w:val="0"/>
    <w:pPr>
      <w:spacing w:beforeLines="50" w:afterLines="50" w:line="377" w:lineRule="auto"/>
      <w:ind w:left="-2" w:leftChars="-1" w:firstLine="569" w:firstLineChars="236"/>
      <w:jc w:val="left"/>
    </w:pPr>
    <w:rPr>
      <w:rFonts w:ascii="Cambria" w:hAnsi="Cambria" w:eastAsia="宋体" w:cs="宋体"/>
      <w:sz w:val="24"/>
      <w:szCs w:val="20"/>
    </w:rPr>
  </w:style>
  <w:style w:type="paragraph" w:customStyle="1" w:styleId="126">
    <w:name w:val="￥正文"/>
    <w:basedOn w:val="1"/>
    <w:link w:val="127"/>
    <w:qFormat/>
    <w:uiPriority w:val="0"/>
    <w:pPr>
      <w:ind w:firstLine="200" w:firstLineChars="200"/>
    </w:pPr>
    <w:rPr>
      <w:rFonts w:ascii="Calibri" w:hAnsi="Calibri" w:cs="Times New Roman"/>
      <w:kern w:val="2"/>
      <w:sz w:val="24"/>
      <w:szCs w:val="20"/>
    </w:rPr>
  </w:style>
  <w:style w:type="character" w:customStyle="1" w:styleId="127">
    <w:name w:val="￥正文 Char"/>
    <w:link w:val="126"/>
    <w:qFormat/>
    <w:uiPriority w:val="0"/>
    <w:rPr>
      <w:rFonts w:ascii="Calibri" w:hAnsi="Calibri"/>
      <w:kern w:val="2"/>
      <w:sz w:val="24"/>
    </w:rPr>
  </w:style>
  <w:style w:type="paragraph" w:customStyle="1" w:styleId="128">
    <w:name w:val="样式 标题 4h4heading 4h41heading 41h42heading 42h411heading ..."/>
    <w:basedOn w:val="5"/>
    <w:qFormat/>
    <w:uiPriority w:val="0"/>
    <w:pPr>
      <w:spacing w:beforeLines="50" w:afterLines="50" w:line="377" w:lineRule="auto"/>
      <w:ind w:left="2240" w:right="220"/>
      <w:jc w:val="left"/>
    </w:pPr>
    <w:rPr>
      <w:rFonts w:ascii="Cambria" w:hAnsi="Cambria" w:eastAsia="宋体" w:cs="宋体"/>
      <w:sz w:val="24"/>
      <w:szCs w:val="20"/>
    </w:rPr>
  </w:style>
  <w:style w:type="paragraph" w:customStyle="1" w:styleId="129">
    <w:name w:val="!项目ALT+P"/>
    <w:basedOn w:val="1"/>
    <w:qFormat/>
    <w:uiPriority w:val="0"/>
    <w:pPr>
      <w:numPr>
        <w:ilvl w:val="0"/>
        <w:numId w:val="9"/>
      </w:numPr>
      <w:spacing w:line="320" w:lineRule="atLeast"/>
      <w:ind w:firstLine="0"/>
      <w:textAlignment w:val="baseline"/>
    </w:pPr>
    <w:rPr>
      <w:szCs w:val="21"/>
    </w:rPr>
  </w:style>
  <w:style w:type="paragraph" w:customStyle="1" w:styleId="130">
    <w:name w:val="样式 样式 (符号) 宋体 小四 行距: 1.5 倍行距 首行缩进:  1.5 字符 + 宋体 首行缩进:  2 字符"/>
    <w:basedOn w:val="1"/>
    <w:qFormat/>
    <w:uiPriority w:val="0"/>
    <w:pPr>
      <w:ind w:firstLine="480" w:firstLineChars="200"/>
    </w:pPr>
    <w:rPr>
      <w:sz w:val="24"/>
      <w:szCs w:val="20"/>
    </w:rPr>
  </w:style>
  <w:style w:type="paragraph" w:customStyle="1" w:styleId="131">
    <w:name w:val="正文内容"/>
    <w:basedOn w:val="1"/>
    <w:next w:val="17"/>
    <w:link w:val="132"/>
    <w:qFormat/>
    <w:uiPriority w:val="0"/>
    <w:rPr>
      <w:rFonts w:ascii="Times New Roman" w:hAnsi="Times New Roman" w:cs="Times New Roman"/>
      <w:sz w:val="20"/>
    </w:rPr>
  </w:style>
  <w:style w:type="character" w:customStyle="1" w:styleId="132">
    <w:name w:val="正文内容 Char"/>
    <w:link w:val="131"/>
    <w:qFormat/>
    <w:uiPriority w:val="0"/>
    <w:rPr>
      <w:szCs w:val="24"/>
    </w:rPr>
  </w:style>
  <w:style w:type="paragraph" w:customStyle="1" w:styleId="133">
    <w:name w:val="方案标题1"/>
    <w:basedOn w:val="42"/>
    <w:qFormat/>
    <w:uiPriority w:val="0"/>
    <w:pPr>
      <w:numPr>
        <w:ilvl w:val="0"/>
        <w:numId w:val="10"/>
      </w:numPr>
      <w:spacing w:beforeLines="50" w:afterLines="50"/>
      <w:ind w:firstLine="200" w:firstLineChars="200"/>
      <w:jc w:val="both"/>
    </w:pPr>
    <w:rPr>
      <w:color w:val="000000"/>
    </w:rPr>
  </w:style>
  <w:style w:type="paragraph" w:customStyle="1" w:styleId="134">
    <w:name w:val="方案标题2"/>
    <w:basedOn w:val="42"/>
    <w:qFormat/>
    <w:uiPriority w:val="0"/>
    <w:pPr>
      <w:numPr>
        <w:ilvl w:val="1"/>
        <w:numId w:val="10"/>
      </w:numPr>
      <w:spacing w:beforeLines="50" w:afterLines="50"/>
      <w:ind w:firstLine="200" w:firstLineChars="200"/>
      <w:jc w:val="left"/>
      <w:outlineLvl w:val="1"/>
    </w:pPr>
    <w:rPr>
      <w:rFonts w:eastAsia="仿宋_GB2312"/>
      <w:color w:val="000000"/>
      <w:sz w:val="30"/>
      <w:szCs w:val="30"/>
    </w:rPr>
  </w:style>
  <w:style w:type="paragraph" w:customStyle="1" w:styleId="135">
    <w:name w:val="方案标题3"/>
    <w:basedOn w:val="42"/>
    <w:qFormat/>
    <w:uiPriority w:val="0"/>
    <w:pPr>
      <w:numPr>
        <w:ilvl w:val="2"/>
        <w:numId w:val="10"/>
      </w:numPr>
      <w:spacing w:beforeLines="50" w:afterLines="50" w:line="440" w:lineRule="exact"/>
      <w:ind w:firstLine="200" w:firstLineChars="200"/>
      <w:jc w:val="left"/>
      <w:outlineLvl w:val="2"/>
    </w:pPr>
    <w:rPr>
      <w:rFonts w:ascii="黑体" w:eastAsia="黑体"/>
      <w:color w:val="000000"/>
      <w:sz w:val="28"/>
      <w:szCs w:val="24"/>
    </w:rPr>
  </w:style>
  <w:style w:type="character" w:customStyle="1" w:styleId="136">
    <w:name w:val="标题 Char"/>
    <w:link w:val="42"/>
    <w:qFormat/>
    <w:uiPriority w:val="0"/>
    <w:rPr>
      <w:rFonts w:ascii="Arial" w:hAnsi="Arial" w:cs="Arial"/>
      <w:b/>
      <w:bCs/>
      <w:kern w:val="2"/>
      <w:sz w:val="36"/>
      <w:szCs w:val="32"/>
    </w:rPr>
  </w:style>
  <w:style w:type="paragraph" w:customStyle="1" w:styleId="137">
    <w:name w:val="正文Land"/>
    <w:basedOn w:val="1"/>
    <w:qFormat/>
    <w:uiPriority w:val="0"/>
    <w:pPr>
      <w:spacing w:beforeLines="20" w:afterLines="50"/>
      <w:ind w:firstLine="200" w:firstLineChars="200"/>
    </w:pPr>
    <w:rPr>
      <w:color w:val="000000"/>
      <w:sz w:val="24"/>
    </w:rPr>
  </w:style>
  <w:style w:type="paragraph" w:customStyle="1" w:styleId="138">
    <w:name w:val="样式5"/>
    <w:basedOn w:val="1"/>
    <w:qFormat/>
    <w:uiPriority w:val="0"/>
    <w:pPr>
      <w:numPr>
        <w:ilvl w:val="0"/>
        <w:numId w:val="11"/>
      </w:numPr>
      <w:spacing w:beforeLines="50" w:afterLines="50"/>
      <w:ind w:firstLine="0"/>
    </w:pPr>
    <w:rPr>
      <w:rFonts w:eastAsia="仿宋_GB2312"/>
      <w:color w:val="000000"/>
      <w:sz w:val="24"/>
    </w:rPr>
  </w:style>
  <w:style w:type="paragraph" w:customStyle="1" w:styleId="139">
    <w:name w:val="font6"/>
    <w:basedOn w:val="1"/>
    <w:qFormat/>
    <w:uiPriority w:val="0"/>
    <w:pPr>
      <w:spacing w:beforeAutospacing="1" w:afterAutospacing="1"/>
      <w:jc w:val="left"/>
    </w:pPr>
    <w:rPr>
      <w:sz w:val="18"/>
      <w:szCs w:val="18"/>
    </w:rPr>
  </w:style>
  <w:style w:type="paragraph" w:customStyle="1" w:styleId="140">
    <w:name w:val="xl64"/>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41">
    <w:name w:val="xl70"/>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b/>
      <w:bCs/>
      <w:color w:val="000000"/>
      <w:sz w:val="24"/>
    </w:rPr>
  </w:style>
  <w:style w:type="paragraph" w:customStyle="1" w:styleId="142">
    <w:name w:val="xl71"/>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3">
    <w:name w:val="xl72"/>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textAlignment w:val="center"/>
    </w:pPr>
    <w:rPr>
      <w:color w:val="000000"/>
      <w:sz w:val="24"/>
    </w:rPr>
  </w:style>
  <w:style w:type="paragraph" w:customStyle="1" w:styleId="144">
    <w:name w:val="xl73"/>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5">
    <w:name w:val="xl74"/>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pPr>
    <w:rPr>
      <w:color w:val="000000"/>
      <w:sz w:val="24"/>
    </w:rPr>
  </w:style>
  <w:style w:type="paragraph" w:customStyle="1" w:styleId="146">
    <w:name w:val="xl75"/>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b/>
      <w:bCs/>
      <w:color w:val="000000"/>
      <w:sz w:val="24"/>
    </w:rPr>
  </w:style>
  <w:style w:type="paragraph" w:customStyle="1" w:styleId="147">
    <w:name w:val="xl76"/>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color w:val="000000"/>
      <w:sz w:val="24"/>
    </w:rPr>
  </w:style>
  <w:style w:type="paragraph" w:customStyle="1" w:styleId="148">
    <w:name w:val="xl77"/>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left"/>
      <w:textAlignment w:val="center"/>
    </w:pPr>
    <w:rPr>
      <w:color w:val="000000"/>
      <w:sz w:val="24"/>
    </w:rPr>
  </w:style>
  <w:style w:type="paragraph" w:customStyle="1" w:styleId="149">
    <w:name w:val="xl78"/>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b/>
      <w:bCs/>
      <w:color w:val="000000"/>
      <w:sz w:val="24"/>
    </w:rPr>
  </w:style>
  <w:style w:type="paragraph" w:customStyle="1" w:styleId="150">
    <w:name w:val="xl79"/>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1">
    <w:name w:val="xl80"/>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left"/>
      <w:textAlignment w:val="center"/>
    </w:pPr>
    <w:rPr>
      <w:color w:val="000000"/>
      <w:sz w:val="24"/>
    </w:rPr>
  </w:style>
  <w:style w:type="paragraph" w:customStyle="1" w:styleId="152">
    <w:name w:val="xl81"/>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3">
    <w:name w:val="xl82"/>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pPr>
    <w:rPr>
      <w:color w:val="000000"/>
      <w:sz w:val="24"/>
    </w:rPr>
  </w:style>
  <w:style w:type="paragraph" w:customStyle="1" w:styleId="154">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b/>
      <w:bCs/>
      <w:color w:val="000000"/>
      <w:sz w:val="24"/>
    </w:rPr>
  </w:style>
  <w:style w:type="paragraph" w:customStyle="1" w:styleId="155">
    <w:name w:val="xl84"/>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6">
    <w:name w:val="xl85"/>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7">
    <w:name w:val="xl86"/>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pPr>
    <w:rPr>
      <w:color w:val="000000"/>
      <w:sz w:val="24"/>
    </w:rPr>
  </w:style>
  <w:style w:type="paragraph" w:customStyle="1" w:styleId="158">
    <w:name w:val="xl87"/>
    <w:basedOn w:val="1"/>
    <w:qFormat/>
    <w:uiPriority w:val="0"/>
    <w:pPr>
      <w:spacing w:beforeAutospacing="1" w:afterAutospacing="1"/>
      <w:jc w:val="left"/>
    </w:pPr>
    <w:rPr>
      <w:sz w:val="24"/>
    </w:rPr>
  </w:style>
  <w:style w:type="paragraph" w:customStyle="1" w:styleId="159">
    <w:name w:val="xl8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b/>
      <w:bCs/>
      <w:color w:val="000000"/>
      <w:sz w:val="24"/>
    </w:rPr>
  </w:style>
  <w:style w:type="paragraph" w:customStyle="1" w:styleId="160">
    <w:name w:val="xl89"/>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61">
    <w:name w:val="Bulleted Items--Level 2"/>
    <w:basedOn w:val="1"/>
    <w:qFormat/>
    <w:uiPriority w:val="0"/>
    <w:pPr>
      <w:numPr>
        <w:ilvl w:val="0"/>
        <w:numId w:val="12"/>
      </w:numPr>
      <w:tabs>
        <w:tab w:val="left" w:pos="1771"/>
        <w:tab w:val="left" w:pos="2520"/>
        <w:tab w:val="clear" w:pos="360"/>
      </w:tabs>
      <w:spacing w:line="280" w:lineRule="exact"/>
      <w:ind w:left="2520" w:firstLine="0"/>
    </w:pPr>
    <w:rPr>
      <w:color w:val="000000"/>
      <w:sz w:val="22"/>
      <w:szCs w:val="20"/>
      <w:lang w:eastAsia="en-US"/>
    </w:rPr>
  </w:style>
  <w:style w:type="paragraph" w:customStyle="1" w:styleId="162">
    <w:name w:val="xl9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2"/>
      <w:szCs w:val="22"/>
    </w:rPr>
  </w:style>
  <w:style w:type="paragraph" w:customStyle="1" w:styleId="163">
    <w:name w:val="xl91"/>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000000"/>
      <w:sz w:val="22"/>
      <w:szCs w:val="22"/>
    </w:rPr>
  </w:style>
  <w:style w:type="paragraph" w:customStyle="1" w:styleId="164">
    <w:name w:val="xl9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0"/>
      <w:szCs w:val="20"/>
    </w:rPr>
  </w:style>
  <w:style w:type="paragraph" w:customStyle="1" w:styleId="165">
    <w:name w:val="xl9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66">
    <w:name w:val="xl9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67">
    <w:name w:val="xl95"/>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sz w:val="22"/>
      <w:szCs w:val="22"/>
    </w:rPr>
  </w:style>
  <w:style w:type="paragraph" w:customStyle="1" w:styleId="168">
    <w:name w:val="xl9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sz w:val="22"/>
      <w:szCs w:val="22"/>
    </w:rPr>
  </w:style>
  <w:style w:type="paragraph" w:customStyle="1" w:styleId="169">
    <w:name w:val="xl9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sz w:val="22"/>
      <w:szCs w:val="22"/>
    </w:rPr>
  </w:style>
  <w:style w:type="paragraph" w:customStyle="1" w:styleId="170">
    <w:name w:val="xl98"/>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sz w:val="22"/>
      <w:szCs w:val="22"/>
    </w:rPr>
  </w:style>
  <w:style w:type="paragraph" w:customStyle="1" w:styleId="171">
    <w:name w:val="xl9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sz w:val="22"/>
      <w:szCs w:val="22"/>
    </w:rPr>
  </w:style>
  <w:style w:type="paragraph" w:customStyle="1" w:styleId="172">
    <w:name w:val="xl10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FF0000"/>
      <w:sz w:val="22"/>
      <w:szCs w:val="22"/>
    </w:rPr>
  </w:style>
  <w:style w:type="paragraph" w:customStyle="1" w:styleId="173">
    <w:name w:val="xl101"/>
    <w:basedOn w:val="1"/>
    <w:qFormat/>
    <w:uiPriority w:val="0"/>
    <w:pPr>
      <w:spacing w:beforeAutospacing="1" w:afterAutospacing="1"/>
      <w:jc w:val="left"/>
      <w:textAlignment w:val="center"/>
    </w:pPr>
    <w:rPr>
      <w:color w:val="FF0000"/>
      <w:sz w:val="20"/>
      <w:szCs w:val="20"/>
    </w:rPr>
  </w:style>
  <w:style w:type="paragraph" w:customStyle="1" w:styleId="174">
    <w:name w:val="xl10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175">
    <w:name w:val="xl103"/>
    <w:basedOn w:val="1"/>
    <w:qFormat/>
    <w:uiPriority w:val="0"/>
    <w:pPr>
      <w:spacing w:beforeAutospacing="1" w:afterAutospacing="1"/>
      <w:jc w:val="left"/>
      <w:textAlignment w:val="center"/>
    </w:pPr>
    <w:rPr>
      <w:color w:val="FF0000"/>
      <w:sz w:val="22"/>
      <w:szCs w:val="22"/>
    </w:rPr>
  </w:style>
  <w:style w:type="paragraph" w:customStyle="1" w:styleId="176">
    <w:name w:val="xl104"/>
    <w:basedOn w:val="1"/>
    <w:qFormat/>
    <w:uiPriority w:val="0"/>
    <w:pPr>
      <w:spacing w:beforeAutospacing="1" w:afterAutospacing="1"/>
      <w:jc w:val="center"/>
    </w:pPr>
    <w:rPr>
      <w:sz w:val="24"/>
    </w:rPr>
  </w:style>
  <w:style w:type="paragraph" w:customStyle="1" w:styleId="177">
    <w:name w:val="xl10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b/>
      <w:bCs/>
      <w:sz w:val="18"/>
      <w:szCs w:val="18"/>
    </w:rPr>
  </w:style>
  <w:style w:type="paragraph" w:customStyle="1" w:styleId="178">
    <w:name w:val="xl10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sz w:val="22"/>
      <w:szCs w:val="22"/>
    </w:rPr>
  </w:style>
  <w:style w:type="paragraph" w:customStyle="1" w:styleId="179">
    <w:name w:val="xl1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180">
    <w:name w:val="xl10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Courier New" w:hAnsi="Courier New" w:cs="Courier New"/>
      <w:sz w:val="22"/>
      <w:szCs w:val="22"/>
    </w:rPr>
  </w:style>
  <w:style w:type="paragraph" w:customStyle="1" w:styleId="181">
    <w:name w:val="xl10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color w:val="FF0000"/>
      <w:sz w:val="22"/>
      <w:szCs w:val="22"/>
    </w:rPr>
  </w:style>
  <w:style w:type="paragraph" w:customStyle="1" w:styleId="182">
    <w:name w:val="xl11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000000"/>
      <w:sz w:val="22"/>
      <w:szCs w:val="22"/>
    </w:rPr>
  </w:style>
  <w:style w:type="paragraph" w:customStyle="1" w:styleId="183">
    <w:name w:val="xl111"/>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rFonts w:ascii="仿宋_GB2312" w:eastAsia="仿宋_GB2312"/>
      <w:sz w:val="22"/>
      <w:szCs w:val="22"/>
    </w:rPr>
  </w:style>
  <w:style w:type="paragraph" w:customStyle="1" w:styleId="184">
    <w:name w:val="xl11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85">
    <w:name w:val="xl11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0"/>
      <w:szCs w:val="20"/>
    </w:rPr>
  </w:style>
  <w:style w:type="paragraph" w:customStyle="1" w:styleId="186">
    <w:name w:val="xl114"/>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sz w:val="22"/>
      <w:szCs w:val="22"/>
    </w:rPr>
  </w:style>
  <w:style w:type="paragraph" w:customStyle="1" w:styleId="187">
    <w:name w:val="xl11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8">
    <w:name w:val="xl11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9">
    <w:name w:val="xl11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190">
    <w:name w:val="xl11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91">
    <w:name w:val="xl11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2">
    <w:name w:val="xl12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2"/>
      <w:szCs w:val="22"/>
    </w:rPr>
  </w:style>
  <w:style w:type="paragraph" w:customStyle="1" w:styleId="193">
    <w:name w:val="xl121"/>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194">
    <w:name w:val="xl12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5">
    <w:name w:val="xl123"/>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6">
    <w:name w:val="xl12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4"/>
    </w:rPr>
  </w:style>
  <w:style w:type="paragraph" w:customStyle="1" w:styleId="197">
    <w:name w:val="xl12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98">
    <w:name w:val="xl126"/>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9">
    <w:name w:val="xl127"/>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sz w:val="22"/>
      <w:szCs w:val="22"/>
    </w:rPr>
  </w:style>
  <w:style w:type="paragraph" w:customStyle="1" w:styleId="200">
    <w:name w:val="xl12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201">
    <w:name w:val="xl12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202">
    <w:name w:val="xl13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2"/>
      <w:szCs w:val="22"/>
    </w:rPr>
  </w:style>
  <w:style w:type="paragraph" w:customStyle="1" w:styleId="203">
    <w:name w:val="xl131"/>
    <w:basedOn w:val="1"/>
    <w:qFormat/>
    <w:uiPriority w:val="0"/>
    <w:pPr>
      <w:pBdr>
        <w:top w:val="single" w:color="auto" w:sz="4" w:space="0"/>
        <w:left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4">
    <w:name w:val="xl132"/>
    <w:basedOn w:val="1"/>
    <w:qFormat/>
    <w:uiPriority w:val="0"/>
    <w:pPr>
      <w:pBdr>
        <w:top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5">
    <w:name w:val="xl133"/>
    <w:basedOn w:val="1"/>
    <w:qFormat/>
    <w:uiPriority w:val="0"/>
    <w:pPr>
      <w:pBdr>
        <w:top w:val="single" w:color="auto" w:sz="4" w:space="0"/>
        <w:bottom w:val="single" w:color="auto" w:sz="4" w:space="0"/>
        <w:right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6">
    <w:name w:val="样式 首行缩进:  0 字符"/>
    <w:basedOn w:val="1"/>
    <w:qFormat/>
    <w:uiPriority w:val="0"/>
    <w:pPr>
      <w:ind w:firstLine="200" w:firstLineChars="200"/>
    </w:pPr>
    <w:rPr>
      <w:sz w:val="24"/>
      <w:szCs w:val="20"/>
    </w:rPr>
  </w:style>
  <w:style w:type="paragraph" w:customStyle="1" w:styleId="207">
    <w:name w:val="5"/>
    <w:basedOn w:val="1"/>
    <w:qFormat/>
    <w:uiPriority w:val="0"/>
    <w:pPr>
      <w:ind w:firstLine="200" w:firstLineChars="200"/>
      <w:jc w:val="left"/>
    </w:pPr>
    <w:rPr>
      <w:sz w:val="24"/>
    </w:rPr>
  </w:style>
  <w:style w:type="paragraph" w:customStyle="1" w:styleId="208">
    <w:name w:val="正文1"/>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paragraph" w:customStyle="1" w:styleId="209">
    <w:name w:val="附件标题"/>
    <w:basedOn w:val="1"/>
    <w:qFormat/>
    <w:uiPriority w:val="0"/>
    <w:pPr>
      <w:ind w:firstLine="200" w:firstLineChars="200"/>
      <w:jc w:val="center"/>
    </w:pPr>
    <w:rPr>
      <w:rFonts w:ascii="Arial" w:hAnsi="Arial" w:eastAsia="黑体"/>
      <w:sz w:val="24"/>
    </w:rPr>
  </w:style>
  <w:style w:type="paragraph" w:customStyle="1" w:styleId="210">
    <w:name w:val="附件(1)"/>
    <w:basedOn w:val="1"/>
    <w:qFormat/>
    <w:uiPriority w:val="0"/>
    <w:pPr>
      <w:numPr>
        <w:ilvl w:val="0"/>
        <w:numId w:val="13"/>
      </w:numPr>
      <w:ind w:firstLine="200" w:firstLineChars="200"/>
    </w:pPr>
    <w:rPr>
      <w:sz w:val="24"/>
    </w:rPr>
  </w:style>
  <w:style w:type="paragraph" w:customStyle="1" w:styleId="211">
    <w:name w:val="附件1."/>
    <w:basedOn w:val="3"/>
    <w:qFormat/>
    <w:uiPriority w:val="0"/>
    <w:pPr>
      <w:tabs>
        <w:tab w:val="left" w:pos="360"/>
        <w:tab w:val="left" w:pos="420"/>
        <w:tab w:val="clear" w:pos="426"/>
      </w:tabs>
      <w:spacing w:before="0" w:after="0" w:line="360" w:lineRule="auto"/>
      <w:ind w:left="567" w:hanging="567"/>
      <w:jc w:val="both"/>
    </w:pPr>
    <w:rPr>
      <w:rFonts w:ascii="Times New Roman" w:hAnsi="Times New Roman" w:eastAsia="宋体"/>
      <w:b w:val="0"/>
      <w:sz w:val="24"/>
      <w:szCs w:val="44"/>
    </w:rPr>
  </w:style>
  <w:style w:type="paragraph" w:customStyle="1" w:styleId="212">
    <w:name w:val="附件圈"/>
    <w:basedOn w:val="210"/>
    <w:qFormat/>
    <w:uiPriority w:val="0"/>
    <w:pPr>
      <w:numPr>
        <w:numId w:val="0"/>
      </w:numPr>
      <w:tabs>
        <w:tab w:val="left" w:pos="420"/>
        <w:tab w:val="clear" w:pos="426"/>
      </w:tabs>
      <w:ind w:firstLine="420" w:firstLineChars="200"/>
    </w:pPr>
  </w:style>
  <w:style w:type="character" w:customStyle="1" w:styleId="213">
    <w:name w:val="正文文本缩进 2 Char"/>
    <w:link w:val="27"/>
    <w:qFormat/>
    <w:uiPriority w:val="0"/>
    <w:rPr>
      <w:rFonts w:ascii="宋体" w:hAnsi="宋体"/>
      <w:kern w:val="2"/>
      <w:sz w:val="21"/>
      <w:szCs w:val="24"/>
    </w:rPr>
  </w:style>
  <w:style w:type="character" w:customStyle="1" w:styleId="214">
    <w:name w:val="正文文本缩进 Char"/>
    <w:link w:val="21"/>
    <w:qFormat/>
    <w:uiPriority w:val="0"/>
    <w:rPr>
      <w:kern w:val="2"/>
      <w:sz w:val="21"/>
      <w:szCs w:val="24"/>
    </w:rPr>
  </w:style>
  <w:style w:type="paragraph" w:customStyle="1" w:styleId="215">
    <w:name w:val="样式 标题 2H2Heading 2 HiddenHeading 2 CCBSheading 22nd levelh..."/>
    <w:basedOn w:val="6"/>
    <w:qFormat/>
    <w:uiPriority w:val="0"/>
    <w:pPr>
      <w:adjustRightInd/>
      <w:spacing w:before="120" w:after="120"/>
      <w:ind w:left="576" w:hanging="576"/>
      <w:jc w:val="left"/>
      <w:textAlignment w:val="auto"/>
    </w:pPr>
    <w:rPr>
      <w:rFonts w:ascii="Arial" w:hAnsi="Arial" w:eastAsia="黑体" w:cs="宋体"/>
      <w:bCs/>
      <w:kern w:val="2"/>
      <w:sz w:val="28"/>
      <w:szCs w:val="28"/>
    </w:rPr>
  </w:style>
  <w:style w:type="paragraph" w:customStyle="1" w:styleId="216">
    <w:name w:val="样式 标题 2H2Heading 2 HiddenHeading 2 CCBSheading 22nd levelh...1"/>
    <w:basedOn w:val="6"/>
    <w:qFormat/>
    <w:uiPriority w:val="0"/>
    <w:pPr>
      <w:adjustRightInd/>
      <w:spacing w:before="240" w:after="240"/>
      <w:ind w:left="576" w:hanging="576"/>
      <w:jc w:val="left"/>
      <w:textAlignment w:val="auto"/>
    </w:pPr>
    <w:rPr>
      <w:bCs/>
      <w:kern w:val="2"/>
      <w:sz w:val="28"/>
      <w:szCs w:val="28"/>
    </w:rPr>
  </w:style>
  <w:style w:type="character" w:customStyle="1" w:styleId="217">
    <w:name w:val="Default Char"/>
    <w:link w:val="80"/>
    <w:qFormat/>
    <w:uiPriority w:val="0"/>
    <w:rPr>
      <w:rFonts w:ascii="宋体" w:hAnsi="Calibri"/>
      <w:color w:val="000000"/>
      <w:sz w:val="24"/>
      <w:szCs w:val="24"/>
      <w:lang w:bidi="ar-SA"/>
    </w:rPr>
  </w:style>
  <w:style w:type="paragraph" w:customStyle="1" w:styleId="218">
    <w:name w:val="CM51"/>
    <w:basedOn w:val="80"/>
    <w:next w:val="80"/>
    <w:qFormat/>
    <w:uiPriority w:val="0"/>
    <w:pPr>
      <w:spacing w:after="103"/>
    </w:pPr>
    <w:rPr>
      <w:rFonts w:ascii="黑体" w:eastAsia="黑体"/>
      <w:color w:val="auto"/>
    </w:rPr>
  </w:style>
  <w:style w:type="paragraph" w:customStyle="1" w:styleId="219">
    <w:name w:val="pan"/>
    <w:basedOn w:val="78"/>
    <w:link w:val="220"/>
    <w:qFormat/>
    <w:uiPriority w:val="0"/>
    <w:pPr>
      <w:numPr>
        <w:ilvl w:val="0"/>
        <w:numId w:val="14"/>
      </w:numPr>
      <w:tabs>
        <w:tab w:val="left" w:pos="840"/>
      </w:tabs>
      <w:ind w:left="840" w:hanging="420" w:firstLineChars="0"/>
      <w:outlineLvl w:val="0"/>
    </w:pPr>
    <w:rPr>
      <w:rFonts w:ascii="黑体" w:hAnsi="黑体" w:eastAsia="黑体"/>
      <w:sz w:val="32"/>
      <w:szCs w:val="32"/>
    </w:rPr>
  </w:style>
  <w:style w:type="character" w:customStyle="1" w:styleId="220">
    <w:name w:val="pan Char"/>
    <w:link w:val="219"/>
    <w:qFormat/>
    <w:uiPriority w:val="0"/>
    <w:rPr>
      <w:rFonts w:ascii="黑体" w:hAnsi="黑体" w:eastAsia="黑体"/>
      <w:kern w:val="2"/>
      <w:sz w:val="32"/>
      <w:szCs w:val="32"/>
      <w:shd w:val="clear" w:color="auto" w:fill="FFFFFF"/>
    </w:rPr>
  </w:style>
  <w:style w:type="paragraph" w:customStyle="1" w:styleId="221">
    <w:name w:val="pan2"/>
    <w:basedOn w:val="78"/>
    <w:link w:val="222"/>
    <w:qFormat/>
    <w:uiPriority w:val="0"/>
    <w:pPr>
      <w:numPr>
        <w:ilvl w:val="1"/>
        <w:numId w:val="14"/>
      </w:numPr>
      <w:tabs>
        <w:tab w:val="left" w:pos="840"/>
      </w:tabs>
      <w:ind w:left="840" w:hanging="420" w:firstLineChars="0"/>
      <w:outlineLvl w:val="1"/>
    </w:pPr>
    <w:rPr>
      <w:rFonts w:ascii="黑体" w:hAnsi="黑体" w:eastAsia="黑体"/>
      <w:sz w:val="30"/>
      <w:szCs w:val="30"/>
    </w:rPr>
  </w:style>
  <w:style w:type="character" w:customStyle="1" w:styleId="222">
    <w:name w:val="pan2 Char"/>
    <w:link w:val="221"/>
    <w:qFormat/>
    <w:uiPriority w:val="0"/>
    <w:rPr>
      <w:rFonts w:ascii="黑体" w:hAnsi="黑体" w:eastAsia="黑体"/>
      <w:kern w:val="2"/>
      <w:sz w:val="30"/>
      <w:szCs w:val="30"/>
      <w:shd w:val="clear" w:color="auto" w:fill="FFFFFF"/>
    </w:rPr>
  </w:style>
  <w:style w:type="paragraph" w:customStyle="1" w:styleId="223">
    <w:name w:val="pan3"/>
    <w:basedOn w:val="78"/>
    <w:link w:val="224"/>
    <w:qFormat/>
    <w:uiPriority w:val="0"/>
    <w:pPr>
      <w:numPr>
        <w:ilvl w:val="2"/>
        <w:numId w:val="14"/>
      </w:numPr>
      <w:tabs>
        <w:tab w:val="left" w:pos="1260"/>
      </w:tabs>
      <w:ind w:left="1260" w:hanging="420" w:firstLineChars="0"/>
      <w:outlineLvl w:val="2"/>
    </w:pPr>
    <w:rPr>
      <w:rFonts w:ascii="黑体" w:hAnsi="黑体" w:eastAsia="黑体"/>
      <w:sz w:val="28"/>
      <w:szCs w:val="28"/>
    </w:rPr>
  </w:style>
  <w:style w:type="character" w:customStyle="1" w:styleId="224">
    <w:name w:val="pan3 Char"/>
    <w:link w:val="223"/>
    <w:qFormat/>
    <w:uiPriority w:val="0"/>
    <w:rPr>
      <w:rFonts w:ascii="黑体" w:hAnsi="黑体" w:eastAsia="黑体"/>
      <w:kern w:val="2"/>
      <w:sz w:val="28"/>
      <w:szCs w:val="28"/>
      <w:shd w:val="clear" w:color="auto" w:fill="FFFFFF"/>
    </w:rPr>
  </w:style>
  <w:style w:type="paragraph" w:customStyle="1" w:styleId="225">
    <w:name w:val="pan4"/>
    <w:basedOn w:val="78"/>
    <w:link w:val="226"/>
    <w:qFormat/>
    <w:uiPriority w:val="0"/>
    <w:pPr>
      <w:numPr>
        <w:ilvl w:val="3"/>
        <w:numId w:val="14"/>
      </w:numPr>
      <w:tabs>
        <w:tab w:val="left" w:pos="1680"/>
      </w:tabs>
      <w:ind w:left="1680" w:hanging="420" w:firstLineChars="0"/>
      <w:outlineLvl w:val="3"/>
    </w:pPr>
    <w:rPr>
      <w:rFonts w:ascii="黑体" w:hAnsi="黑体" w:eastAsia="黑体"/>
      <w:sz w:val="28"/>
      <w:szCs w:val="28"/>
    </w:rPr>
  </w:style>
  <w:style w:type="character" w:customStyle="1" w:styleId="226">
    <w:name w:val="pan4 Char"/>
    <w:link w:val="225"/>
    <w:qFormat/>
    <w:uiPriority w:val="0"/>
    <w:rPr>
      <w:rFonts w:ascii="黑体" w:hAnsi="黑体" w:eastAsia="黑体"/>
      <w:kern w:val="2"/>
      <w:sz w:val="28"/>
      <w:szCs w:val="28"/>
      <w:shd w:val="clear" w:color="auto" w:fill="FFFFFF"/>
    </w:rPr>
  </w:style>
  <w:style w:type="paragraph" w:customStyle="1" w:styleId="227">
    <w:name w:val="pan5"/>
    <w:basedOn w:val="78"/>
    <w:link w:val="228"/>
    <w:qFormat/>
    <w:uiPriority w:val="0"/>
    <w:pPr>
      <w:numPr>
        <w:ilvl w:val="4"/>
        <w:numId w:val="14"/>
      </w:numPr>
      <w:tabs>
        <w:tab w:val="left" w:pos="1008"/>
      </w:tabs>
      <w:ind w:left="1008" w:hanging="1008" w:firstLineChars="0"/>
      <w:outlineLvl w:val="4"/>
    </w:pPr>
    <w:rPr>
      <w:rFonts w:ascii="黑体" w:hAnsi="黑体" w:eastAsia="黑体"/>
      <w:sz w:val="24"/>
    </w:rPr>
  </w:style>
  <w:style w:type="character" w:customStyle="1" w:styleId="228">
    <w:name w:val="pan5 Char"/>
    <w:link w:val="227"/>
    <w:qFormat/>
    <w:uiPriority w:val="0"/>
    <w:rPr>
      <w:rFonts w:ascii="黑体" w:hAnsi="黑体" w:eastAsia="黑体"/>
      <w:kern w:val="2"/>
      <w:sz w:val="24"/>
      <w:szCs w:val="24"/>
      <w:shd w:val="clear" w:color="auto" w:fill="FFFFFF"/>
    </w:rPr>
  </w:style>
  <w:style w:type="paragraph" w:customStyle="1" w:styleId="229">
    <w:name w:val="一级标题"/>
    <w:basedOn w:val="78"/>
    <w:link w:val="231"/>
    <w:qFormat/>
    <w:uiPriority w:val="0"/>
    <w:pPr>
      <w:numPr>
        <w:ilvl w:val="0"/>
        <w:numId w:val="15"/>
      </w:numPr>
      <w:spacing w:line="720" w:lineRule="auto"/>
      <w:ind w:firstLineChars="0"/>
      <w:jc w:val="center"/>
      <w:outlineLvl w:val="0"/>
    </w:pPr>
    <w:rPr>
      <w:rFonts w:ascii="黑体" w:hAnsi="黑体" w:eastAsia="黑体"/>
      <w:sz w:val="44"/>
      <w:szCs w:val="44"/>
    </w:rPr>
  </w:style>
  <w:style w:type="paragraph" w:customStyle="1" w:styleId="230">
    <w:name w:val="二级标题"/>
    <w:basedOn w:val="78"/>
    <w:link w:val="233"/>
    <w:qFormat/>
    <w:uiPriority w:val="0"/>
    <w:pPr>
      <w:numPr>
        <w:ilvl w:val="1"/>
        <w:numId w:val="15"/>
      </w:numPr>
      <w:spacing w:line="720" w:lineRule="auto"/>
      <w:ind w:firstLineChars="0"/>
      <w:outlineLvl w:val="1"/>
    </w:pPr>
    <w:rPr>
      <w:rFonts w:ascii="黑体" w:hAnsi="黑体" w:eastAsia="黑体"/>
      <w:sz w:val="36"/>
      <w:szCs w:val="36"/>
    </w:rPr>
  </w:style>
  <w:style w:type="character" w:customStyle="1" w:styleId="231">
    <w:name w:val="一级标题 Char"/>
    <w:link w:val="229"/>
    <w:qFormat/>
    <w:uiPriority w:val="0"/>
    <w:rPr>
      <w:rFonts w:ascii="黑体" w:hAnsi="黑体" w:eastAsia="黑体"/>
      <w:kern w:val="2"/>
      <w:sz w:val="44"/>
      <w:szCs w:val="44"/>
      <w:shd w:val="clear" w:color="auto" w:fill="FFFFFF"/>
    </w:rPr>
  </w:style>
  <w:style w:type="paragraph" w:customStyle="1" w:styleId="232">
    <w:name w:val="三级标题"/>
    <w:basedOn w:val="78"/>
    <w:link w:val="235"/>
    <w:qFormat/>
    <w:uiPriority w:val="0"/>
    <w:pPr>
      <w:numPr>
        <w:ilvl w:val="2"/>
        <w:numId w:val="15"/>
      </w:numPr>
      <w:spacing w:line="720" w:lineRule="auto"/>
      <w:ind w:firstLineChars="0"/>
      <w:outlineLvl w:val="2"/>
    </w:pPr>
    <w:rPr>
      <w:rFonts w:ascii="黑体" w:hAnsi="黑体" w:eastAsia="黑体"/>
      <w:sz w:val="32"/>
      <w:szCs w:val="32"/>
    </w:rPr>
  </w:style>
  <w:style w:type="character" w:customStyle="1" w:styleId="233">
    <w:name w:val="二级标题 Char"/>
    <w:link w:val="230"/>
    <w:qFormat/>
    <w:uiPriority w:val="0"/>
    <w:rPr>
      <w:rFonts w:ascii="黑体" w:hAnsi="黑体" w:eastAsia="黑体"/>
      <w:kern w:val="2"/>
      <w:sz w:val="36"/>
      <w:szCs w:val="36"/>
      <w:shd w:val="clear" w:color="auto" w:fill="FFFFFF"/>
    </w:rPr>
  </w:style>
  <w:style w:type="paragraph" w:customStyle="1" w:styleId="234">
    <w:name w:val="四级标题"/>
    <w:basedOn w:val="78"/>
    <w:link w:val="237"/>
    <w:qFormat/>
    <w:uiPriority w:val="0"/>
    <w:pPr>
      <w:numPr>
        <w:ilvl w:val="3"/>
        <w:numId w:val="15"/>
      </w:numPr>
      <w:spacing w:line="720" w:lineRule="auto"/>
      <w:ind w:firstLineChars="0"/>
      <w:outlineLvl w:val="3"/>
    </w:pPr>
    <w:rPr>
      <w:rFonts w:ascii="黑体" w:hAnsi="黑体" w:eastAsia="黑体"/>
      <w:sz w:val="30"/>
      <w:szCs w:val="30"/>
    </w:rPr>
  </w:style>
  <w:style w:type="character" w:customStyle="1" w:styleId="235">
    <w:name w:val="三级标题 Char"/>
    <w:link w:val="232"/>
    <w:qFormat/>
    <w:uiPriority w:val="0"/>
    <w:rPr>
      <w:rFonts w:ascii="黑体" w:hAnsi="黑体" w:eastAsia="黑体"/>
      <w:kern w:val="2"/>
      <w:sz w:val="32"/>
      <w:szCs w:val="32"/>
      <w:shd w:val="clear" w:color="auto" w:fill="FFFFFF"/>
    </w:rPr>
  </w:style>
  <w:style w:type="paragraph" w:customStyle="1" w:styleId="236">
    <w:name w:val="五级标题"/>
    <w:basedOn w:val="78"/>
    <w:link w:val="238"/>
    <w:qFormat/>
    <w:uiPriority w:val="0"/>
    <w:pPr>
      <w:numPr>
        <w:ilvl w:val="4"/>
        <w:numId w:val="15"/>
      </w:numPr>
      <w:spacing w:line="720" w:lineRule="auto"/>
      <w:ind w:firstLineChars="0"/>
      <w:outlineLvl w:val="4"/>
    </w:pPr>
    <w:rPr>
      <w:rFonts w:ascii="黑体" w:hAnsi="黑体" w:eastAsia="黑体"/>
      <w:sz w:val="28"/>
      <w:szCs w:val="28"/>
    </w:rPr>
  </w:style>
  <w:style w:type="character" w:customStyle="1" w:styleId="237">
    <w:name w:val="四级标题 Char"/>
    <w:link w:val="234"/>
    <w:qFormat/>
    <w:uiPriority w:val="0"/>
    <w:rPr>
      <w:rFonts w:ascii="黑体" w:hAnsi="黑体" w:eastAsia="黑体"/>
      <w:kern w:val="2"/>
      <w:sz w:val="30"/>
      <w:szCs w:val="30"/>
      <w:shd w:val="clear" w:color="auto" w:fill="FFFFFF"/>
    </w:rPr>
  </w:style>
  <w:style w:type="character" w:customStyle="1" w:styleId="238">
    <w:name w:val="五级标题 Char"/>
    <w:link w:val="236"/>
    <w:qFormat/>
    <w:uiPriority w:val="0"/>
    <w:rPr>
      <w:rFonts w:ascii="黑体" w:hAnsi="黑体" w:eastAsia="黑体"/>
      <w:kern w:val="2"/>
      <w:sz w:val="28"/>
      <w:szCs w:val="28"/>
      <w:shd w:val="clear" w:color="auto" w:fill="FFFFFF"/>
    </w:rPr>
  </w:style>
  <w:style w:type="paragraph" w:customStyle="1" w:styleId="239">
    <w:name w:val="图片"/>
    <w:basedOn w:val="1"/>
    <w:link w:val="241"/>
    <w:qFormat/>
    <w:uiPriority w:val="0"/>
    <w:pPr>
      <w:ind w:firstLine="200" w:firstLineChars="200"/>
      <w:jc w:val="center"/>
    </w:pPr>
    <w:rPr>
      <w:rFonts w:cs="Times New Roman"/>
      <w:kern w:val="2"/>
      <w:sz w:val="24"/>
    </w:rPr>
  </w:style>
  <w:style w:type="paragraph" w:customStyle="1" w:styleId="240">
    <w:name w:val="图片注释"/>
    <w:basedOn w:val="1"/>
    <w:link w:val="242"/>
    <w:qFormat/>
    <w:uiPriority w:val="0"/>
    <w:pPr>
      <w:spacing w:afterLines="25"/>
      <w:ind w:firstLine="200" w:firstLineChars="200"/>
      <w:jc w:val="center"/>
    </w:pPr>
    <w:rPr>
      <w:rFonts w:cs="Times New Roman"/>
      <w:kern w:val="2"/>
      <w:sz w:val="24"/>
      <w:u w:val="single"/>
    </w:rPr>
  </w:style>
  <w:style w:type="character" w:customStyle="1" w:styleId="241">
    <w:name w:val="图片 Char"/>
    <w:link w:val="239"/>
    <w:qFormat/>
    <w:uiPriority w:val="0"/>
    <w:rPr>
      <w:rFonts w:ascii="宋体" w:hAnsi="宋体"/>
      <w:kern w:val="2"/>
      <w:sz w:val="24"/>
      <w:szCs w:val="24"/>
    </w:rPr>
  </w:style>
  <w:style w:type="character" w:customStyle="1" w:styleId="242">
    <w:name w:val="图片注释 Char"/>
    <w:link w:val="240"/>
    <w:qFormat/>
    <w:uiPriority w:val="0"/>
    <w:rPr>
      <w:rFonts w:ascii="宋体" w:hAnsi="宋体"/>
      <w:kern w:val="2"/>
      <w:sz w:val="24"/>
      <w:szCs w:val="24"/>
      <w:u w:val="single"/>
    </w:rPr>
  </w:style>
  <w:style w:type="paragraph" w:customStyle="1" w:styleId="243">
    <w:name w:val="段内层标"/>
    <w:basedOn w:val="131"/>
    <w:link w:val="244"/>
    <w:qFormat/>
    <w:uiPriority w:val="0"/>
    <w:pPr>
      <w:numPr>
        <w:ilvl w:val="0"/>
        <w:numId w:val="16"/>
      </w:numPr>
      <w:spacing w:beforeLines="25" w:afterLines="25"/>
      <w:ind w:firstLine="200" w:firstLineChars="200"/>
    </w:pPr>
    <w:rPr>
      <w:rFonts w:ascii="宋体" w:hAnsi="宋体"/>
      <w:b/>
      <w:kern w:val="2"/>
      <w:sz w:val="28"/>
      <w:szCs w:val="28"/>
    </w:rPr>
  </w:style>
  <w:style w:type="character" w:customStyle="1" w:styleId="244">
    <w:name w:val="段内层标 Char"/>
    <w:link w:val="243"/>
    <w:qFormat/>
    <w:uiPriority w:val="0"/>
    <w:rPr>
      <w:rFonts w:ascii="宋体" w:hAnsi="宋体"/>
      <w:b/>
      <w:kern w:val="2"/>
      <w:sz w:val="28"/>
      <w:szCs w:val="28"/>
      <w:shd w:val="clear" w:color="auto" w:fill="FFFFFF"/>
    </w:rPr>
  </w:style>
  <w:style w:type="paragraph" w:customStyle="1" w:styleId="245">
    <w:name w:val="方案设计1级标题"/>
    <w:basedOn w:val="78"/>
    <w:qFormat/>
    <w:uiPriority w:val="0"/>
    <w:pPr>
      <w:tabs>
        <w:tab w:val="left" w:pos="840"/>
      </w:tabs>
      <w:ind w:left="840" w:firstLine="0" w:firstLineChars="0"/>
      <w:jc w:val="center"/>
      <w:outlineLvl w:val="0"/>
    </w:pPr>
    <w:rPr>
      <w:rFonts w:ascii="黑体" w:hAnsi="黑体" w:eastAsia="黑体"/>
      <w:sz w:val="44"/>
      <w:szCs w:val="44"/>
    </w:rPr>
  </w:style>
  <w:style w:type="paragraph" w:customStyle="1" w:styleId="246">
    <w:name w:val="方案设计2级标题"/>
    <w:basedOn w:val="78"/>
    <w:qFormat/>
    <w:uiPriority w:val="0"/>
    <w:pPr>
      <w:numPr>
        <w:ilvl w:val="1"/>
        <w:numId w:val="17"/>
      </w:numPr>
      <w:ind w:firstLine="0" w:firstLineChars="0"/>
      <w:outlineLvl w:val="1"/>
    </w:pPr>
    <w:rPr>
      <w:rFonts w:ascii="黑体" w:hAnsi="黑体" w:eastAsia="黑体"/>
      <w:sz w:val="32"/>
      <w:szCs w:val="32"/>
    </w:rPr>
  </w:style>
  <w:style w:type="paragraph" w:customStyle="1" w:styleId="247">
    <w:name w:val="标题3"/>
    <w:basedOn w:val="78"/>
    <w:link w:val="252"/>
    <w:qFormat/>
    <w:uiPriority w:val="0"/>
    <w:pPr>
      <w:numPr>
        <w:ilvl w:val="2"/>
        <w:numId w:val="17"/>
      </w:numPr>
      <w:ind w:firstLine="0" w:firstLineChars="0"/>
      <w:outlineLvl w:val="2"/>
    </w:pPr>
    <w:rPr>
      <w:rFonts w:ascii="黑体" w:hAnsi="黑体" w:eastAsia="黑体"/>
      <w:sz w:val="28"/>
      <w:szCs w:val="28"/>
    </w:rPr>
  </w:style>
  <w:style w:type="paragraph" w:customStyle="1" w:styleId="248">
    <w:name w:val="标题5"/>
    <w:basedOn w:val="78"/>
    <w:qFormat/>
    <w:uiPriority w:val="0"/>
    <w:pPr>
      <w:tabs>
        <w:tab w:val="left" w:pos="2038"/>
      </w:tabs>
      <w:ind w:left="2038" w:hanging="420" w:firstLineChars="0"/>
      <w:jc w:val="left"/>
      <w:outlineLvl w:val="4"/>
    </w:pPr>
    <w:rPr>
      <w:rFonts w:ascii="黑体" w:hAnsi="黑体" w:eastAsia="黑体"/>
      <w:sz w:val="28"/>
      <w:szCs w:val="28"/>
    </w:rPr>
  </w:style>
  <w:style w:type="paragraph" w:customStyle="1" w:styleId="249">
    <w:name w:val="正文标题"/>
    <w:basedOn w:val="1"/>
    <w:link w:val="250"/>
    <w:qFormat/>
    <w:uiPriority w:val="0"/>
    <w:pPr>
      <w:numPr>
        <w:ilvl w:val="0"/>
        <w:numId w:val="17"/>
      </w:numPr>
      <w:ind w:firstLine="200" w:firstLineChars="200"/>
    </w:pPr>
    <w:rPr>
      <w:rFonts w:ascii="Calibri" w:hAnsi="Calibri" w:cs="Times New Roman"/>
      <w:b/>
      <w:kern w:val="2"/>
      <w:sz w:val="28"/>
      <w:szCs w:val="28"/>
    </w:rPr>
  </w:style>
  <w:style w:type="character" w:customStyle="1" w:styleId="250">
    <w:name w:val="正文标题 Char"/>
    <w:link w:val="249"/>
    <w:qFormat/>
    <w:uiPriority w:val="0"/>
    <w:rPr>
      <w:rFonts w:ascii="Calibri" w:hAnsi="Calibri"/>
      <w:b/>
      <w:kern w:val="2"/>
      <w:sz w:val="28"/>
      <w:szCs w:val="28"/>
      <w:shd w:val="clear" w:color="auto" w:fill="FFFFFF"/>
    </w:rPr>
  </w:style>
  <w:style w:type="character" w:customStyle="1" w:styleId="251">
    <w:name w:val="批注主题 Char"/>
    <w:link w:val="43"/>
    <w:qFormat/>
    <w:uiPriority w:val="0"/>
    <w:rPr>
      <w:b/>
      <w:bCs/>
      <w:kern w:val="2"/>
      <w:sz w:val="21"/>
      <w:szCs w:val="24"/>
    </w:rPr>
  </w:style>
  <w:style w:type="character" w:customStyle="1" w:styleId="252">
    <w:name w:val="标题3 Char"/>
    <w:link w:val="247"/>
    <w:qFormat/>
    <w:uiPriority w:val="0"/>
    <w:rPr>
      <w:rFonts w:ascii="黑体" w:hAnsi="黑体" w:eastAsia="黑体"/>
      <w:kern w:val="2"/>
      <w:sz w:val="28"/>
      <w:szCs w:val="28"/>
      <w:shd w:val="clear" w:color="auto" w:fill="FFFFFF"/>
    </w:rPr>
  </w:style>
  <w:style w:type="paragraph" w:customStyle="1" w:styleId="253">
    <w:name w:val="样式 Verdana 四号 首行缩进:  2 字符"/>
    <w:basedOn w:val="1"/>
    <w:qFormat/>
    <w:uiPriority w:val="0"/>
    <w:pPr>
      <w:ind w:firstLine="560" w:firstLineChars="200"/>
      <w:jc w:val="left"/>
    </w:pPr>
    <w:rPr>
      <w:rFonts w:ascii="Verdana" w:hAnsi="Verdana"/>
      <w:sz w:val="24"/>
      <w:szCs w:val="20"/>
    </w:rPr>
  </w:style>
  <w:style w:type="paragraph" w:customStyle="1" w:styleId="254">
    <w:name w:val="层标"/>
    <w:basedOn w:val="131"/>
    <w:link w:val="255"/>
    <w:qFormat/>
    <w:uiPriority w:val="0"/>
    <w:pPr>
      <w:numPr>
        <w:ilvl w:val="0"/>
        <w:numId w:val="18"/>
      </w:numPr>
      <w:spacing w:beforeLines="25" w:afterLines="25"/>
      <w:ind w:firstLine="0"/>
    </w:pPr>
    <w:rPr>
      <w:rFonts w:ascii="宋体" w:hAnsi="宋体"/>
      <w:b/>
      <w:kern w:val="2"/>
      <w:sz w:val="28"/>
      <w:szCs w:val="28"/>
    </w:rPr>
  </w:style>
  <w:style w:type="character" w:customStyle="1" w:styleId="255">
    <w:name w:val="层标 Char"/>
    <w:link w:val="254"/>
    <w:qFormat/>
    <w:uiPriority w:val="0"/>
    <w:rPr>
      <w:rFonts w:ascii="宋体" w:hAnsi="宋体"/>
      <w:b/>
      <w:kern w:val="2"/>
      <w:sz w:val="28"/>
      <w:szCs w:val="28"/>
      <w:shd w:val="clear" w:color="auto" w:fill="FFFFFF"/>
    </w:rPr>
  </w:style>
  <w:style w:type="paragraph" w:styleId="256">
    <w:name w:val="Quote"/>
    <w:basedOn w:val="1"/>
    <w:next w:val="1"/>
    <w:link w:val="257"/>
    <w:qFormat/>
    <w:uiPriority w:val="29"/>
    <w:pPr>
      <w:jc w:val="center"/>
    </w:pPr>
    <w:rPr>
      <w:rFonts w:ascii="Times New Roman" w:hAnsi="Times New Roman" w:cs="Times New Roman"/>
      <w:iCs/>
      <w:color w:val="000000"/>
      <w:kern w:val="2"/>
      <w:sz w:val="24"/>
    </w:rPr>
  </w:style>
  <w:style w:type="character" w:customStyle="1" w:styleId="257">
    <w:name w:val="引用 Char"/>
    <w:link w:val="256"/>
    <w:qFormat/>
    <w:uiPriority w:val="29"/>
    <w:rPr>
      <w:iCs/>
      <w:color w:val="000000"/>
      <w:kern w:val="2"/>
      <w:sz w:val="24"/>
      <w:szCs w:val="24"/>
    </w:rPr>
  </w:style>
  <w:style w:type="character" w:customStyle="1" w:styleId="258">
    <w:name w:val="明显参考1"/>
    <w:qFormat/>
    <w:uiPriority w:val="32"/>
    <w:rPr>
      <w:rFonts w:eastAsia="宋体"/>
      <w:bCs/>
      <w:smallCaps/>
      <w:color w:val="000000"/>
      <w:spacing w:val="5"/>
      <w:sz w:val="24"/>
      <w:u w:val="single"/>
    </w:rPr>
  </w:style>
  <w:style w:type="paragraph" w:customStyle="1" w:styleId="259">
    <w:name w:val="段落强调"/>
    <w:basedOn w:val="1"/>
    <w:link w:val="261"/>
    <w:qFormat/>
    <w:uiPriority w:val="0"/>
    <w:pPr>
      <w:numPr>
        <w:ilvl w:val="0"/>
        <w:numId w:val="19"/>
      </w:numPr>
      <w:ind w:left="0" w:firstLine="420"/>
    </w:pPr>
    <w:rPr>
      <w:rFonts w:ascii="Times New Roman" w:hAnsi="Times New Roman" w:cs="Times New Roman"/>
      <w:b/>
      <w:kern w:val="2"/>
      <w:sz w:val="24"/>
    </w:rPr>
  </w:style>
  <w:style w:type="character" w:customStyle="1" w:styleId="260">
    <w:name w:val="书籍标题1"/>
    <w:qFormat/>
    <w:uiPriority w:val="33"/>
    <w:rPr>
      <w:b/>
      <w:bCs/>
      <w:smallCaps/>
      <w:spacing w:val="5"/>
    </w:rPr>
  </w:style>
  <w:style w:type="character" w:customStyle="1" w:styleId="261">
    <w:name w:val="段落强调 Char"/>
    <w:link w:val="259"/>
    <w:qFormat/>
    <w:uiPriority w:val="0"/>
    <w:rPr>
      <w:b/>
      <w:kern w:val="2"/>
      <w:sz w:val="24"/>
      <w:szCs w:val="24"/>
      <w:shd w:val="clear" w:color="auto" w:fill="FFFFFF"/>
    </w:rPr>
  </w:style>
  <w:style w:type="paragraph" w:customStyle="1" w:styleId="262">
    <w:name w:val="段内主题"/>
    <w:basedOn w:val="1"/>
    <w:link w:val="264"/>
    <w:qFormat/>
    <w:uiPriority w:val="0"/>
    <w:pPr>
      <w:numPr>
        <w:ilvl w:val="1"/>
        <w:numId w:val="20"/>
      </w:numPr>
      <w:ind w:firstLine="0"/>
    </w:pPr>
    <w:rPr>
      <w:rFonts w:cs="Times New Roman"/>
      <w:b/>
      <w:kern w:val="2"/>
      <w:sz w:val="24"/>
    </w:rPr>
  </w:style>
  <w:style w:type="paragraph" w:customStyle="1" w:styleId="263">
    <w:name w:val="图片注释新"/>
    <w:basedOn w:val="240"/>
    <w:link w:val="265"/>
    <w:qFormat/>
    <w:uiPriority w:val="0"/>
    <w:pPr>
      <w:spacing w:after="81"/>
      <w:ind w:firstLine="0" w:firstLineChars="0"/>
    </w:pPr>
  </w:style>
  <w:style w:type="character" w:customStyle="1" w:styleId="264">
    <w:name w:val="段内主题 Char"/>
    <w:link w:val="262"/>
    <w:qFormat/>
    <w:uiPriority w:val="0"/>
    <w:rPr>
      <w:rFonts w:ascii="宋体" w:hAnsi="宋体"/>
      <w:b/>
      <w:kern w:val="2"/>
      <w:sz w:val="24"/>
      <w:szCs w:val="24"/>
      <w:shd w:val="clear" w:color="auto" w:fill="FFFFFF"/>
    </w:rPr>
  </w:style>
  <w:style w:type="character" w:customStyle="1" w:styleId="265">
    <w:name w:val="图片注释新 Char"/>
    <w:link w:val="263"/>
    <w:qFormat/>
    <w:uiPriority w:val="0"/>
    <w:rPr>
      <w:rFonts w:ascii="宋体" w:hAnsi="宋体"/>
      <w:kern w:val="2"/>
      <w:sz w:val="24"/>
      <w:szCs w:val="24"/>
      <w:u w:val="single"/>
    </w:rPr>
  </w:style>
  <w:style w:type="paragraph" w:customStyle="1" w:styleId="266">
    <w:name w:val="正文（缩进）"/>
    <w:basedOn w:val="1"/>
    <w:link w:val="267"/>
    <w:qFormat/>
    <w:uiPriority w:val="0"/>
    <w:pPr>
      <w:spacing w:beforeLines="50" w:afterLines="50"/>
      <w:ind w:firstLine="480" w:firstLineChars="200"/>
    </w:pPr>
    <w:rPr>
      <w:rFonts w:ascii="Times New Roman" w:hAnsi="Times New Roman" w:cs="Times New Roman"/>
      <w:sz w:val="24"/>
    </w:rPr>
  </w:style>
  <w:style w:type="character" w:customStyle="1" w:styleId="267">
    <w:name w:val="正文（缩进） Char"/>
    <w:link w:val="266"/>
    <w:qFormat/>
    <w:uiPriority w:val="0"/>
    <w:rPr>
      <w:sz w:val="24"/>
      <w:szCs w:val="24"/>
    </w:rPr>
  </w:style>
  <w:style w:type="character" w:customStyle="1" w:styleId="268">
    <w:name w:val="Char Char4"/>
    <w:qFormat/>
    <w:uiPriority w:val="0"/>
    <w:rPr>
      <w:rFonts w:eastAsia="宋体"/>
      <w:b/>
      <w:kern w:val="2"/>
      <w:sz w:val="24"/>
      <w:lang w:val="en-US" w:eastAsia="zh-CN" w:bidi="ar-SA"/>
    </w:rPr>
  </w:style>
  <w:style w:type="character" w:customStyle="1" w:styleId="269">
    <w:name w:val="正文文本缩进 3 Char"/>
    <w:link w:val="35"/>
    <w:qFormat/>
    <w:uiPriority w:val="0"/>
    <w:rPr>
      <w:rFonts w:ascii="宋体"/>
      <w:b/>
      <w:bCs/>
      <w:kern w:val="2"/>
      <w:sz w:val="24"/>
      <w:szCs w:val="24"/>
    </w:rPr>
  </w:style>
  <w:style w:type="paragraph" w:customStyle="1" w:styleId="270">
    <w:name w:val="Char5 Char Char 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271">
    <w:name w:val="pa-2"/>
    <w:basedOn w:val="1"/>
    <w:qFormat/>
    <w:uiPriority w:val="0"/>
    <w:pPr>
      <w:spacing w:before="100" w:beforeAutospacing="1" w:after="100" w:afterAutospacing="1"/>
      <w:jc w:val="left"/>
    </w:pPr>
    <w:rPr>
      <w:sz w:val="24"/>
    </w:rPr>
  </w:style>
  <w:style w:type="character" w:customStyle="1" w:styleId="272">
    <w:name w:val="HTML 预设格式 Char"/>
    <w:link w:val="39"/>
    <w:qFormat/>
    <w:uiPriority w:val="0"/>
    <w:rPr>
      <w:rFonts w:ascii="Arial Unicode MS" w:hAnsi="Arial Unicode MS" w:eastAsia="Arial Unicode MS"/>
      <w:color w:val="000000"/>
    </w:rPr>
  </w:style>
  <w:style w:type="character" w:customStyle="1" w:styleId="273">
    <w:name w:val="正文文本 2 Char"/>
    <w:link w:val="38"/>
    <w:qFormat/>
    <w:uiPriority w:val="0"/>
    <w:rPr>
      <w:kern w:val="2"/>
      <w:sz w:val="24"/>
      <w:szCs w:val="24"/>
    </w:rPr>
  </w:style>
  <w:style w:type="character" w:customStyle="1" w:styleId="274">
    <w:name w:val="正文文本 3 Char"/>
    <w:link w:val="20"/>
    <w:qFormat/>
    <w:uiPriority w:val="0"/>
    <w:rPr>
      <w:kern w:val="2"/>
      <w:sz w:val="16"/>
      <w:szCs w:val="16"/>
    </w:rPr>
  </w:style>
  <w:style w:type="paragraph" w:customStyle="1" w:styleId="275">
    <w:name w:val="方案正文段落"/>
    <w:basedOn w:val="1"/>
    <w:link w:val="276"/>
    <w:qFormat/>
    <w:uiPriority w:val="0"/>
    <w:pPr>
      <w:ind w:firstLine="420" w:firstLineChars="200"/>
    </w:pPr>
    <w:rPr>
      <w:rFonts w:ascii="Times New Roman" w:hAnsi="Times New Roman" w:cs="Times New Roman"/>
      <w:kern w:val="2"/>
      <w:szCs w:val="20"/>
    </w:rPr>
  </w:style>
  <w:style w:type="character" w:customStyle="1" w:styleId="276">
    <w:name w:val="方案正文段落 Char"/>
    <w:link w:val="275"/>
    <w:qFormat/>
    <w:uiPriority w:val="0"/>
    <w:rPr>
      <w:kern w:val="2"/>
      <w:sz w:val="21"/>
    </w:rPr>
  </w:style>
  <w:style w:type="paragraph" w:customStyle="1" w:styleId="277">
    <w:name w:val="修订1"/>
    <w:hidden/>
    <w:semiHidden/>
    <w:qFormat/>
    <w:uiPriority w:val="99"/>
    <w:pPr>
      <w:spacing w:line="360" w:lineRule="auto"/>
      <w:jc w:val="both"/>
    </w:pPr>
    <w:rPr>
      <w:rFonts w:ascii="Times New Roman" w:hAnsi="Times New Roman" w:eastAsia="宋体" w:cs="Times New Roman"/>
      <w:kern w:val="2"/>
      <w:sz w:val="21"/>
      <w:szCs w:val="24"/>
      <w:lang w:val="en-US" w:eastAsia="zh-CN" w:bidi="ar-SA"/>
    </w:rPr>
  </w:style>
  <w:style w:type="paragraph" w:customStyle="1" w:styleId="278">
    <w:name w:val="模板正文"/>
    <w:basedOn w:val="1"/>
    <w:link w:val="279"/>
    <w:qFormat/>
    <w:uiPriority w:val="0"/>
    <w:pPr>
      <w:widowControl w:val="0"/>
      <w:shd w:val="clear" w:color="auto" w:fill="auto"/>
      <w:tabs>
        <w:tab w:val="clear" w:pos="426"/>
      </w:tabs>
      <w:wordWrap w:val="0"/>
      <w:adjustRightInd/>
      <w:snapToGrid/>
      <w:spacing w:beforeLines="50"/>
      <w:ind w:firstLine="200" w:firstLineChars="200"/>
    </w:pPr>
    <w:rPr>
      <w:rFonts w:ascii="Times New Roman" w:hAnsi="Times New Roman" w:eastAsia="仿宋_GB2312" w:cs="Times New Roman"/>
      <w:sz w:val="28"/>
      <w:szCs w:val="21"/>
    </w:rPr>
  </w:style>
  <w:style w:type="character" w:customStyle="1" w:styleId="279">
    <w:name w:val="模板正文 Char"/>
    <w:link w:val="278"/>
    <w:qFormat/>
    <w:locked/>
    <w:uiPriority w:val="0"/>
    <w:rPr>
      <w:rFonts w:eastAsia="仿宋_GB2312"/>
      <w:sz w:val="28"/>
      <w:szCs w:val="21"/>
    </w:rPr>
  </w:style>
  <w:style w:type="paragraph" w:styleId="280">
    <w:name w:val="List Paragraph"/>
    <w:basedOn w:val="1"/>
    <w:qFormat/>
    <w:uiPriority w:val="34"/>
    <w:pPr>
      <w:widowControl w:val="0"/>
      <w:shd w:val="clear" w:color="auto" w:fill="auto"/>
      <w:tabs>
        <w:tab w:val="clear" w:pos="426"/>
      </w:tabs>
      <w:adjustRightInd/>
      <w:snapToGrid/>
      <w:ind w:firstLine="420" w:firstLineChars="200"/>
    </w:pPr>
    <w:rPr>
      <w:rFonts w:ascii="Times New Roman" w:hAnsi="Times New Roman" w:cs="Times New Roman"/>
      <w:kern w:val="2"/>
      <w:sz w:val="24"/>
    </w:rPr>
  </w:style>
  <w:style w:type="paragraph" w:customStyle="1" w:styleId="281">
    <w:name w:val="普通段落"/>
    <w:qFormat/>
    <w:uiPriority w:val="0"/>
    <w:pPr>
      <w:widowControl w:val="0"/>
      <w:adjustRightInd w:val="0"/>
      <w:spacing w:line="360" w:lineRule="auto"/>
      <w:ind w:firstLine="425"/>
      <w:jc w:val="both"/>
      <w:textAlignment w:val="baseline"/>
    </w:pPr>
    <w:rPr>
      <w:rFonts w:ascii="Times New Roman" w:hAnsi="Times New Roman" w:eastAsia="宋体" w:cs="Times New Roman"/>
      <w:sz w:val="24"/>
      <w:lang w:val="en-US" w:eastAsia="zh-CN" w:bidi="ar-SA"/>
    </w:rPr>
  </w:style>
  <w:style w:type="paragraph" w:customStyle="1" w:styleId="282">
    <w:name w:val="表格正文"/>
    <w:basedOn w:val="1"/>
    <w:qFormat/>
    <w:uiPriority w:val="0"/>
    <w:pPr>
      <w:widowControl w:val="0"/>
      <w:shd w:val="clear" w:color="auto" w:fill="auto"/>
      <w:tabs>
        <w:tab w:val="clear" w:pos="426"/>
      </w:tabs>
      <w:adjustRightInd/>
      <w:snapToGrid/>
      <w:ind w:firstLine="200" w:firstLineChars="200"/>
    </w:pPr>
    <w:rPr>
      <w:rFonts w:ascii="Arial" w:hAnsi="Arial" w:eastAsia="仿宋_GB2312" w:cs="Times New Roman"/>
      <w:kern w:val="2"/>
      <w:sz w:val="24"/>
      <w:szCs w:val="22"/>
    </w:rPr>
  </w:style>
  <w:style w:type="paragraph" w:customStyle="1" w:styleId="283">
    <w:name w:val="USE 1"/>
    <w:basedOn w:val="1"/>
    <w:qFormat/>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284">
    <w:name w:val="fielderror"/>
    <w:basedOn w:val="47"/>
    <w:qFormat/>
    <w:uiPriority w:val="0"/>
    <w:rPr>
      <w:color w:val="800000"/>
    </w:rPr>
  </w:style>
  <w:style w:type="character" w:customStyle="1" w:styleId="285">
    <w:name w:val="active6"/>
    <w:basedOn w:val="47"/>
    <w:qFormat/>
    <w:uiPriority w:val="0"/>
    <w:rPr>
      <w:color w:val="FFFFFF"/>
    </w:rPr>
  </w:style>
  <w:style w:type="character" w:customStyle="1" w:styleId="286">
    <w:name w:val="hilite6"/>
    <w:basedOn w:val="47"/>
    <w:qFormat/>
    <w:uiPriority w:val="0"/>
    <w:rPr>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04B2B-1856-4BE2-AEF1-0437BA8E912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116</Pages>
  <Words>11586</Words>
  <Characters>66045</Characters>
  <Lines>550</Lines>
  <Paragraphs>154</Paragraphs>
  <TotalTime>6</TotalTime>
  <ScaleCrop>false</ScaleCrop>
  <LinksUpToDate>false</LinksUpToDate>
  <CharactersWithSpaces>77477</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2019-02-13T10:06:00Z</dcterms:created>
  <dc:creator>Zhangwei</dc:creator>
  <cp:lastModifiedBy>游娃</cp:lastModifiedBy>
  <cp:lastPrinted>2017-02-22T09:17:00Z</cp:lastPrinted>
  <dcterms:modified xsi:type="dcterms:W3CDTF">2019-06-09T08:12:22Z</dcterms:modified>
  <cp:revision>326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